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23A" w:rsidRDefault="0061723A">
      <w:pPr>
        <w:rPr>
          <w:rFonts w:ascii="Arial" w:hAnsi="Arial" w:cs="Arial"/>
          <w:b/>
          <w:color w:val="0E1116"/>
          <w:u w:val="single"/>
        </w:rPr>
      </w:pPr>
    </w:p>
    <w:p w:rsidR="0061723A" w:rsidRDefault="0061723A">
      <w:pPr>
        <w:rPr>
          <w:rFonts w:ascii="Arial" w:hAnsi="Arial" w:cs="Arial"/>
          <w:b/>
          <w:color w:val="0E1116"/>
          <w:u w:val="single"/>
        </w:rPr>
      </w:pPr>
    </w:p>
    <w:p w:rsidR="0061723A" w:rsidRDefault="0061723A">
      <w:pPr>
        <w:rPr>
          <w:rFonts w:ascii="Arial" w:hAnsi="Arial" w:cs="Arial"/>
          <w:b/>
          <w:color w:val="0E1116"/>
          <w:u w:val="single"/>
        </w:rPr>
      </w:pPr>
    </w:p>
    <w:p w:rsidR="0061723A" w:rsidRDefault="0061723A">
      <w:pPr>
        <w:rPr>
          <w:rFonts w:ascii="Arial" w:hAnsi="Arial" w:cs="Arial"/>
          <w:b/>
          <w:color w:val="0E1116"/>
          <w:u w:val="single"/>
        </w:rPr>
      </w:pPr>
    </w:p>
    <w:p w:rsidR="0061723A" w:rsidRPr="0061723A" w:rsidRDefault="00CF4332" w:rsidP="0061723A">
      <w:pPr>
        <w:ind w:left="1416" w:firstLine="708"/>
        <w:rPr>
          <w:rFonts w:ascii="Arial" w:hAnsi="Arial" w:cs="Arial"/>
          <w:b/>
          <w:color w:val="4CC2BF"/>
          <w:sz w:val="28"/>
          <w:szCs w:val="28"/>
          <w:u w:val="single"/>
        </w:rPr>
      </w:pPr>
      <w:r>
        <w:rPr>
          <w:rFonts w:ascii="Arial" w:hAnsi="Arial" w:cs="Arial"/>
          <w:b/>
          <w:color w:val="4CC2BF"/>
          <w:sz w:val="28"/>
          <w:szCs w:val="28"/>
          <w:u w:val="single"/>
        </w:rPr>
        <w:t>L</w:t>
      </w:r>
      <w:bookmarkStart w:id="0" w:name="_GoBack"/>
      <w:bookmarkEnd w:id="0"/>
      <w:r w:rsidR="0061723A" w:rsidRPr="0061723A">
        <w:rPr>
          <w:rFonts w:ascii="Arial" w:hAnsi="Arial" w:cs="Arial"/>
          <w:b/>
          <w:color w:val="4CC2BF"/>
          <w:sz w:val="28"/>
          <w:szCs w:val="28"/>
          <w:u w:val="single"/>
        </w:rPr>
        <w:t>as universidades españolas. Una perspectiva autonómica. 2020</w:t>
      </w:r>
    </w:p>
    <w:p w:rsidR="0061723A" w:rsidRPr="0061723A" w:rsidRDefault="0061723A" w:rsidP="0061723A">
      <w:pPr>
        <w:rPr>
          <w:rFonts w:ascii="Arial" w:hAnsi="Arial" w:cs="Arial"/>
          <w:b/>
          <w:color w:val="4CC2BF"/>
          <w:sz w:val="28"/>
          <w:szCs w:val="28"/>
          <w:u w:val="single"/>
        </w:rPr>
      </w:pPr>
    </w:p>
    <w:p w:rsidR="0061723A" w:rsidRPr="0061723A" w:rsidRDefault="0061723A" w:rsidP="0061723A">
      <w:pPr>
        <w:ind w:left="2832" w:firstLine="708"/>
        <w:rPr>
          <w:rFonts w:ascii="Arial" w:hAnsi="Arial" w:cs="Arial"/>
          <w:b/>
          <w:color w:val="4CC2BF"/>
          <w:sz w:val="28"/>
          <w:szCs w:val="28"/>
          <w:u w:val="single"/>
        </w:rPr>
      </w:pPr>
    </w:p>
    <w:p w:rsidR="0061723A" w:rsidRPr="0092398E" w:rsidRDefault="0092398E" w:rsidP="0092398E">
      <w:pPr>
        <w:ind w:left="2832" w:firstLine="708"/>
        <w:rPr>
          <w:rFonts w:ascii="Arial" w:hAnsi="Arial" w:cs="Arial"/>
          <w:b/>
          <w:color w:val="4CC2BF"/>
          <w:sz w:val="28"/>
          <w:szCs w:val="28"/>
          <w:u w:val="single"/>
        </w:rPr>
        <w:sectPr w:rsidR="0061723A" w:rsidRPr="0092398E" w:rsidSect="0061723A">
          <w:headerReference w:type="default" r:id="rId6"/>
          <w:footerReference w:type="default" r:id="rId7"/>
          <w:pgSz w:w="16838" w:h="11906" w:orient="landscape" w:code="9"/>
          <w:pgMar w:top="1701" w:right="1134" w:bottom="1701" w:left="1559" w:header="709" w:footer="709" w:gutter="0"/>
          <w:cols w:space="708"/>
          <w:docGrid w:linePitch="360"/>
        </w:sectPr>
      </w:pPr>
      <w:r w:rsidRPr="0092398E">
        <w:rPr>
          <w:rFonts w:ascii="Arial" w:hAnsi="Arial" w:cs="Arial"/>
          <w:b/>
          <w:color w:val="4CC2BF"/>
          <w:sz w:val="28"/>
          <w:szCs w:val="28"/>
        </w:rPr>
        <w:t xml:space="preserve">   </w:t>
      </w:r>
      <w:r w:rsidR="0061723A" w:rsidRPr="0061723A">
        <w:rPr>
          <w:rFonts w:ascii="Arial" w:hAnsi="Arial" w:cs="Arial"/>
          <w:b/>
          <w:color w:val="4CC2BF"/>
          <w:sz w:val="28"/>
          <w:szCs w:val="28"/>
          <w:u w:val="single"/>
        </w:rPr>
        <w:t>Anexo descriptivo. Universidades</w:t>
      </w:r>
      <w:r w:rsidR="008A473E" w:rsidRPr="0061723A">
        <w:rPr>
          <w:rFonts w:ascii="Arial" w:hAnsi="Arial" w:cs="Arial"/>
          <w:b/>
          <w:color w:val="4CC2BF"/>
          <w:sz w:val="28"/>
          <w:szCs w:val="28"/>
          <w:u w:val="single"/>
        </w:rPr>
        <w:br w:type="page"/>
      </w:r>
    </w:p>
    <w:p w:rsidR="000451B5" w:rsidRPr="00EC632F" w:rsidRDefault="000451B5" w:rsidP="00951FF0">
      <w:pPr>
        <w:spacing w:line="240" w:lineRule="auto"/>
        <w:jc w:val="both"/>
        <w:rPr>
          <w:rFonts w:ascii="Arial" w:hAnsi="Arial" w:cs="Arial"/>
          <w:b/>
          <w:color w:val="0E1116"/>
          <w:u w:val="single"/>
        </w:rPr>
      </w:pPr>
      <w:r w:rsidRPr="00EC632F">
        <w:rPr>
          <w:rFonts w:ascii="Arial" w:hAnsi="Arial" w:cs="Arial"/>
          <w:b/>
          <w:color w:val="0E1116"/>
          <w:u w:val="single"/>
        </w:rPr>
        <w:lastRenderedPageBreak/>
        <w:t>D</w:t>
      </w:r>
      <w:r w:rsidR="00C02AB7">
        <w:rPr>
          <w:rFonts w:ascii="Arial" w:hAnsi="Arial" w:cs="Arial"/>
          <w:b/>
          <w:color w:val="0E1116"/>
          <w:u w:val="single"/>
        </w:rPr>
        <w:t>E</w:t>
      </w:r>
      <w:r w:rsidRPr="00EC632F">
        <w:rPr>
          <w:rFonts w:ascii="Arial" w:hAnsi="Arial" w:cs="Arial"/>
          <w:b/>
          <w:color w:val="0E1116"/>
          <w:u w:val="single"/>
        </w:rPr>
        <w:t>FINICIONES, NOTAS Y FUENT</w:t>
      </w:r>
      <w:r w:rsidR="000A4801">
        <w:rPr>
          <w:rFonts w:ascii="Arial" w:hAnsi="Arial" w:cs="Arial"/>
          <w:b/>
          <w:color w:val="0E1116"/>
          <w:u w:val="single"/>
        </w:rPr>
        <w:t>E</w:t>
      </w:r>
      <w:r w:rsidRPr="00EC632F">
        <w:rPr>
          <w:rFonts w:ascii="Arial" w:hAnsi="Arial" w:cs="Arial"/>
          <w:b/>
          <w:color w:val="0E1116"/>
          <w:u w:val="single"/>
        </w:rPr>
        <w:t>S</w:t>
      </w:r>
    </w:p>
    <w:p w:rsidR="00425AA8" w:rsidRPr="00EC632F" w:rsidRDefault="00425AA8" w:rsidP="00951FF0">
      <w:pPr>
        <w:spacing w:line="240" w:lineRule="auto"/>
        <w:jc w:val="both"/>
        <w:rPr>
          <w:rFonts w:ascii="Arial" w:hAnsi="Arial" w:cs="Arial"/>
          <w:b/>
          <w:color w:val="0E1116"/>
          <w:u w:val="single"/>
        </w:rPr>
      </w:pPr>
    </w:p>
    <w:p w:rsidR="005A21E3" w:rsidRPr="00EC632F" w:rsidRDefault="00DE4B1C" w:rsidP="00951FF0">
      <w:pPr>
        <w:spacing w:line="240" w:lineRule="auto"/>
        <w:jc w:val="both"/>
        <w:rPr>
          <w:rFonts w:ascii="Arial" w:hAnsi="Arial" w:cs="Arial"/>
          <w:b/>
          <w:color w:val="0E1116"/>
        </w:rPr>
      </w:pPr>
      <w:r w:rsidRPr="00EC632F">
        <w:rPr>
          <w:rFonts w:ascii="Arial" w:hAnsi="Arial" w:cs="Arial"/>
          <w:b/>
          <w:color w:val="0E1116"/>
        </w:rPr>
        <w:t>Matriculados totales (grado, máster oficial y doctorado). Curso 2018-2019</w:t>
      </w:r>
    </w:p>
    <w:p w:rsidR="003537D9" w:rsidRPr="00EC632F" w:rsidRDefault="00A44026" w:rsidP="00951FF0">
      <w:pPr>
        <w:spacing w:line="240" w:lineRule="auto"/>
        <w:jc w:val="both"/>
        <w:rPr>
          <w:rFonts w:ascii="Arial" w:hAnsi="Arial" w:cs="Arial"/>
          <w:color w:val="0E1116"/>
        </w:rPr>
      </w:pPr>
      <w:r w:rsidRPr="00EC632F">
        <w:rPr>
          <w:rFonts w:ascii="Arial" w:hAnsi="Arial" w:cs="Arial"/>
          <w:color w:val="0E1116"/>
        </w:rPr>
        <w:t xml:space="preserve">Suma de los matriculados en grado, máster oficial y doctorado en las universidades españolas y perfil de estos. Se ofrece el porcentaje de matriculados mujeres, en </w:t>
      </w:r>
      <w:r w:rsidR="001158B0" w:rsidRPr="00EC632F">
        <w:rPr>
          <w:rFonts w:ascii="Arial" w:hAnsi="Arial" w:cs="Arial"/>
          <w:color w:val="0E1116"/>
        </w:rPr>
        <w:t>la edad típica universitaria (18-21 años en estudios de grado, menos de 25 en máster oficial y 30 y menos en doctorado), de nacionalidad extranjera y de éstos los que proceden de América Latina y el Caribe</w:t>
      </w:r>
      <w:r w:rsidR="00B825B0" w:rsidRPr="00EC632F">
        <w:rPr>
          <w:rFonts w:ascii="Arial" w:hAnsi="Arial" w:cs="Arial"/>
          <w:color w:val="0E1116"/>
        </w:rPr>
        <w:t xml:space="preserve">, porcentaje de matriculados en grado y máster a tiempo completo y porcentaje que representan los matriculados en máster sobre el total y de doctorado sobre el total. También se muestra la especialización por ramas de enseñanza, calculada como: </w:t>
      </w:r>
      <w:r w:rsidR="00B825B0" w:rsidRPr="00EC632F">
        <w:rPr>
          <w:rFonts w:ascii="Arial" w:hAnsi="Arial" w:cs="Arial"/>
          <w:color w:val="0E1116"/>
          <w:position w:val="-22"/>
        </w:rPr>
        <w:object w:dxaOrig="8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6.25pt" o:ole="">
            <v:imagedata r:id="rId8" o:title=""/>
          </v:shape>
          <o:OLEObject Type="Embed" ProgID="Equation.3" ShapeID="_x0000_i1025" DrawAspect="Content" ObjectID="_1676996302" r:id="rId9"/>
        </w:object>
      </w:r>
      <w:r w:rsidR="00B825B0" w:rsidRPr="00EC632F">
        <w:rPr>
          <w:rFonts w:ascii="Arial" w:hAnsi="Arial" w:cs="Arial"/>
          <w:color w:val="0E1116"/>
        </w:rPr>
        <w:t xml:space="preserve">, donde E hace referencia a los estudiantes matriculados, </w:t>
      </w:r>
      <w:r w:rsidR="00B825B0" w:rsidRPr="00EC632F">
        <w:rPr>
          <w:rFonts w:ascii="Arial" w:hAnsi="Arial" w:cs="Arial"/>
          <w:i/>
          <w:color w:val="0E1116"/>
        </w:rPr>
        <w:t>i</w:t>
      </w:r>
      <w:r w:rsidR="00B825B0" w:rsidRPr="00EC632F">
        <w:rPr>
          <w:rFonts w:ascii="Arial" w:hAnsi="Arial" w:cs="Arial"/>
          <w:color w:val="0E1116"/>
        </w:rPr>
        <w:t xml:space="preserve"> es la rama de enseñanza, </w:t>
      </w:r>
      <w:r w:rsidR="00B825B0" w:rsidRPr="00EC632F">
        <w:rPr>
          <w:rFonts w:ascii="Arial" w:hAnsi="Arial" w:cs="Arial"/>
          <w:i/>
          <w:color w:val="0E1116"/>
        </w:rPr>
        <w:t>j</w:t>
      </w:r>
      <w:r w:rsidR="00B825B0" w:rsidRPr="00EC632F">
        <w:rPr>
          <w:rFonts w:ascii="Arial" w:hAnsi="Arial" w:cs="Arial"/>
          <w:color w:val="0E1116"/>
        </w:rPr>
        <w:t xml:space="preserve"> la universidad y </w:t>
      </w:r>
      <w:r w:rsidR="00B825B0" w:rsidRPr="00EC632F">
        <w:rPr>
          <w:rFonts w:ascii="Arial" w:hAnsi="Arial" w:cs="Arial"/>
          <w:i/>
          <w:color w:val="0E1116"/>
        </w:rPr>
        <w:t>t</w:t>
      </w:r>
      <w:r w:rsidR="00B825B0" w:rsidRPr="00EC632F">
        <w:rPr>
          <w:rFonts w:ascii="Arial" w:hAnsi="Arial" w:cs="Arial"/>
          <w:color w:val="0E1116"/>
        </w:rPr>
        <w:t xml:space="preserve"> el total, es decir, el valor para España. Un valor superior a 100 indica que, en comparación con España, esa universidad </w:t>
      </w:r>
      <w:r w:rsidR="00B825B0" w:rsidRPr="00EC632F">
        <w:rPr>
          <w:rFonts w:ascii="Arial" w:hAnsi="Arial" w:cs="Arial"/>
          <w:i/>
          <w:color w:val="0E1116"/>
        </w:rPr>
        <w:t xml:space="preserve">j </w:t>
      </w:r>
      <w:r w:rsidR="00B825B0" w:rsidRPr="00EC632F">
        <w:rPr>
          <w:rFonts w:ascii="Arial" w:hAnsi="Arial" w:cs="Arial"/>
          <w:color w:val="0E1116"/>
        </w:rPr>
        <w:t xml:space="preserve">está especializada en la rama </w:t>
      </w:r>
      <w:r w:rsidR="00B825B0" w:rsidRPr="00EC632F">
        <w:rPr>
          <w:rFonts w:ascii="Arial" w:hAnsi="Arial" w:cs="Arial"/>
          <w:i/>
          <w:color w:val="0E1116"/>
        </w:rPr>
        <w:t>i</w:t>
      </w:r>
      <w:r w:rsidR="00B825B0" w:rsidRPr="00EC632F">
        <w:rPr>
          <w:rFonts w:ascii="Arial" w:hAnsi="Arial" w:cs="Arial"/>
          <w:color w:val="0E1116"/>
        </w:rPr>
        <w:t xml:space="preserve">. </w:t>
      </w:r>
      <w:r w:rsidR="001158B0" w:rsidRPr="00EC632F">
        <w:rPr>
          <w:rFonts w:ascii="Arial" w:hAnsi="Arial" w:cs="Arial"/>
          <w:color w:val="0E1116"/>
        </w:rPr>
        <w:t xml:space="preserve">La </w:t>
      </w:r>
      <w:r w:rsidR="00690AA5" w:rsidRPr="00EC632F">
        <w:rPr>
          <w:rFonts w:ascii="Arial" w:hAnsi="Arial" w:cs="Arial"/>
          <w:color w:val="0E1116"/>
        </w:rPr>
        <w:t xml:space="preserve">posición ocupada entre las universidades españolas </w:t>
      </w:r>
      <w:r w:rsidR="001158B0" w:rsidRPr="00EC632F">
        <w:rPr>
          <w:rFonts w:ascii="Arial" w:hAnsi="Arial" w:cs="Arial"/>
          <w:color w:val="0E1116"/>
        </w:rPr>
        <w:t>se muestra en</w:t>
      </w:r>
      <w:r w:rsidR="00690AA5" w:rsidRPr="00EC632F">
        <w:rPr>
          <w:rFonts w:ascii="Arial" w:hAnsi="Arial" w:cs="Arial"/>
          <w:color w:val="0E1116"/>
        </w:rPr>
        <w:t xml:space="preserve"> una ordenación descendente, de mayor a menor valor de la variable</w:t>
      </w:r>
      <w:r w:rsidR="001158B0" w:rsidRPr="00EC632F">
        <w:rPr>
          <w:rFonts w:ascii="Arial" w:hAnsi="Arial" w:cs="Arial"/>
          <w:color w:val="0E1116"/>
        </w:rPr>
        <w:t xml:space="preserve"> o indicador</w:t>
      </w:r>
      <w:r w:rsidR="00690AA5" w:rsidRPr="00EC632F">
        <w:rPr>
          <w:rFonts w:ascii="Arial" w:hAnsi="Arial" w:cs="Arial"/>
          <w:color w:val="0E1116"/>
        </w:rPr>
        <w:t xml:space="preserve"> en cuestión.</w:t>
      </w:r>
    </w:p>
    <w:p w:rsidR="009A2D3F" w:rsidRPr="002F25BE" w:rsidRDefault="009A2D3F" w:rsidP="00951FF0">
      <w:pPr>
        <w:spacing w:line="240" w:lineRule="auto"/>
        <w:jc w:val="both"/>
        <w:rPr>
          <w:rFonts w:ascii="Arial" w:hAnsi="Arial" w:cs="Arial"/>
          <w:color w:val="0E1116"/>
          <w:sz w:val="18"/>
          <w:szCs w:val="18"/>
        </w:rPr>
      </w:pPr>
      <w:r w:rsidRPr="002F25BE">
        <w:rPr>
          <w:rFonts w:ascii="Arial" w:hAnsi="Arial" w:cs="Arial"/>
          <w:color w:val="0E1116"/>
          <w:sz w:val="18"/>
          <w:szCs w:val="18"/>
        </w:rPr>
        <w:t>Fuente: Estadística de estudiantes. Sistema Integrado de Información Universitaria (SIIU)</w:t>
      </w:r>
      <w:r w:rsidR="00B825B0" w:rsidRPr="002F25BE">
        <w:rPr>
          <w:rFonts w:ascii="Arial" w:hAnsi="Arial" w:cs="Arial"/>
          <w:color w:val="0E1116"/>
          <w:sz w:val="18"/>
          <w:szCs w:val="18"/>
        </w:rPr>
        <w:t>. Ministerio de Universidades.</w:t>
      </w:r>
    </w:p>
    <w:p w:rsidR="000047C1" w:rsidRPr="00EC632F" w:rsidRDefault="000047C1" w:rsidP="00951FF0">
      <w:pPr>
        <w:spacing w:line="240" w:lineRule="auto"/>
        <w:jc w:val="both"/>
        <w:rPr>
          <w:rFonts w:ascii="Arial" w:hAnsi="Arial" w:cs="Arial"/>
          <w:color w:val="0E1116"/>
        </w:rPr>
      </w:pPr>
    </w:p>
    <w:p w:rsidR="00A83608" w:rsidRPr="00EC632F" w:rsidRDefault="00A83608" w:rsidP="00951FF0">
      <w:pPr>
        <w:spacing w:line="240" w:lineRule="auto"/>
        <w:jc w:val="both"/>
        <w:rPr>
          <w:rFonts w:ascii="Arial" w:hAnsi="Arial" w:cs="Arial"/>
          <w:b/>
          <w:color w:val="0E1116"/>
        </w:rPr>
      </w:pPr>
      <w:r w:rsidRPr="00EC632F">
        <w:rPr>
          <w:rFonts w:ascii="Arial" w:hAnsi="Arial" w:cs="Arial"/>
          <w:b/>
          <w:color w:val="0E1116"/>
        </w:rPr>
        <w:t>Estudiantes internacionales que entran (grado, máster oficial y doctorado) en porcentaje sobre total matriculados. Curso 2018-2019</w:t>
      </w:r>
    </w:p>
    <w:p w:rsidR="00FE5C11" w:rsidRPr="00EC632F" w:rsidRDefault="00A42829" w:rsidP="00951FF0">
      <w:pPr>
        <w:spacing w:line="240" w:lineRule="auto"/>
        <w:jc w:val="both"/>
        <w:rPr>
          <w:rFonts w:ascii="Arial" w:hAnsi="Arial" w:cs="Arial"/>
          <w:color w:val="0E1116"/>
        </w:rPr>
      </w:pPr>
      <w:r w:rsidRPr="00EC632F">
        <w:rPr>
          <w:rFonts w:ascii="Arial" w:hAnsi="Arial" w:cs="Arial"/>
          <w:color w:val="0E1116"/>
        </w:rPr>
        <w:t xml:space="preserve">Porcentaje que representan los estudiantes internacionales que entran a las universidades </w:t>
      </w:r>
      <w:r w:rsidR="007D1574" w:rsidRPr="00EC632F">
        <w:rPr>
          <w:rFonts w:ascii="Arial" w:hAnsi="Arial" w:cs="Arial"/>
          <w:color w:val="0E1116"/>
        </w:rPr>
        <w:t xml:space="preserve">presenciales </w:t>
      </w:r>
      <w:r w:rsidRPr="00EC632F">
        <w:rPr>
          <w:rFonts w:ascii="Arial" w:hAnsi="Arial" w:cs="Arial"/>
          <w:color w:val="0E1116"/>
        </w:rPr>
        <w:t>españolas en grado, máster oficial y doctorado sobre el total de matriculados. Se contempla tanto los que entran bajo programas de movilidad como los que lo hacen mediante matricula ordinaria. En cada uno de los casos se ofrece el porcentaje que representan sobre los estudiantes internacionales los que proceden de las zonas de la UE-28, USA y Canadá, América Latina y el Caribe y Asia y Oceanía</w:t>
      </w:r>
      <w:r w:rsidR="00FE5C11" w:rsidRPr="00EC632F">
        <w:rPr>
          <w:rFonts w:ascii="Arial" w:hAnsi="Arial" w:cs="Arial"/>
          <w:color w:val="0E1116"/>
        </w:rPr>
        <w:t xml:space="preserve">. </w:t>
      </w:r>
      <w:r w:rsidR="00A31A5E" w:rsidRPr="00EC632F">
        <w:rPr>
          <w:rFonts w:ascii="Arial" w:hAnsi="Arial" w:cs="Arial"/>
          <w:color w:val="0E1116"/>
        </w:rPr>
        <w:t xml:space="preserve">Datos disponibles únicamente para universidades presenciales. </w:t>
      </w:r>
      <w:r w:rsidR="00FE5C11" w:rsidRPr="00EC632F">
        <w:rPr>
          <w:rFonts w:ascii="Arial" w:hAnsi="Arial" w:cs="Arial"/>
          <w:color w:val="0E1116"/>
        </w:rPr>
        <w:t>La posición ocupada entre las universidades españolas se muestra en una ordenación descendente, de mayor a menor valor de la variable o indicador en cuestión.</w:t>
      </w:r>
    </w:p>
    <w:p w:rsidR="00A42829" w:rsidRPr="002F25BE" w:rsidRDefault="00A42829" w:rsidP="00951FF0">
      <w:pPr>
        <w:spacing w:line="240" w:lineRule="auto"/>
        <w:jc w:val="both"/>
        <w:rPr>
          <w:rFonts w:ascii="Arial" w:hAnsi="Arial" w:cs="Arial"/>
          <w:color w:val="0E1116"/>
          <w:sz w:val="18"/>
          <w:szCs w:val="18"/>
        </w:rPr>
      </w:pPr>
      <w:r w:rsidRPr="002F25BE">
        <w:rPr>
          <w:rFonts w:ascii="Arial" w:hAnsi="Arial" w:cs="Arial"/>
          <w:color w:val="0E1116"/>
          <w:sz w:val="18"/>
          <w:szCs w:val="18"/>
        </w:rPr>
        <w:t>Fuente: Estadística de internacionalización. Sistema Integrado de Información Universitaria (SIIU). Ministerio de Universidades.</w:t>
      </w:r>
    </w:p>
    <w:p w:rsidR="00EF3741" w:rsidRPr="00EC632F" w:rsidRDefault="00EF3741" w:rsidP="00951FF0">
      <w:pPr>
        <w:spacing w:line="240" w:lineRule="auto"/>
        <w:jc w:val="both"/>
        <w:rPr>
          <w:rFonts w:ascii="Arial" w:hAnsi="Arial" w:cs="Arial"/>
          <w:color w:val="0E1116"/>
          <w:sz w:val="20"/>
          <w:szCs w:val="20"/>
        </w:rPr>
      </w:pPr>
    </w:p>
    <w:p w:rsidR="00EF3741" w:rsidRPr="00EC632F" w:rsidRDefault="00EF3741" w:rsidP="00EF3741">
      <w:pPr>
        <w:spacing w:line="240" w:lineRule="auto"/>
        <w:jc w:val="both"/>
        <w:rPr>
          <w:rFonts w:ascii="Arial" w:hAnsi="Arial" w:cs="Arial"/>
          <w:b/>
          <w:color w:val="0E1116"/>
        </w:rPr>
      </w:pPr>
      <w:r w:rsidRPr="00EC632F">
        <w:rPr>
          <w:rFonts w:ascii="Arial" w:hAnsi="Arial" w:cs="Arial"/>
          <w:b/>
          <w:color w:val="0E1116"/>
        </w:rPr>
        <w:t>Titulaciones ofrecidas curso 2019-2020 (grado, máster oficial, doctorado, dobles grados y dobles másteres oficiales)</w:t>
      </w:r>
    </w:p>
    <w:p w:rsidR="00EF3741" w:rsidRPr="00EC632F" w:rsidRDefault="00EF3741" w:rsidP="00EF3741">
      <w:pPr>
        <w:spacing w:line="240" w:lineRule="auto"/>
        <w:jc w:val="both"/>
        <w:rPr>
          <w:rFonts w:ascii="Arial" w:hAnsi="Arial" w:cs="Arial"/>
          <w:color w:val="0E1116"/>
        </w:rPr>
      </w:pPr>
      <w:r w:rsidRPr="00EC632F">
        <w:rPr>
          <w:rFonts w:ascii="Arial" w:hAnsi="Arial" w:cs="Arial"/>
          <w:color w:val="0E1116"/>
        </w:rPr>
        <w:t>Suma de las titulaciones ofrecidas de grado, máster oficial, doctorado y programaciones conjuntas de grado y máster oficial en las universidades españolas. De ellas, también se ofrece la distribución porcentual por ramas de enseñanza. Asimismo se incluye el porcentaje de titulaciones de grado que son de cuatro años (240 créditos ECTS) y el porcentaje de titulaciones de máster oficial que son de un año. La posición ocupada entre las universidades españolas se muestra en una ordenación descendente, de mayor a menor valor de la variable o indicador en cuestión.</w:t>
      </w:r>
    </w:p>
    <w:p w:rsidR="002F1428" w:rsidRPr="002F25BE" w:rsidRDefault="00EF3741" w:rsidP="00EF3741">
      <w:pPr>
        <w:spacing w:line="240" w:lineRule="auto"/>
        <w:jc w:val="both"/>
        <w:rPr>
          <w:rFonts w:ascii="Arial" w:hAnsi="Arial" w:cs="Arial"/>
          <w:color w:val="0E1116"/>
          <w:sz w:val="18"/>
          <w:szCs w:val="18"/>
        </w:rPr>
      </w:pPr>
      <w:r w:rsidRPr="002F25BE">
        <w:rPr>
          <w:rFonts w:ascii="Arial" w:hAnsi="Arial" w:cs="Arial"/>
          <w:color w:val="0E1116"/>
          <w:sz w:val="18"/>
          <w:szCs w:val="18"/>
        </w:rPr>
        <w:t>Fuente: Estadística de universidades, centros y titulaciones. Sistema Integrado de Información Universitaria (SIIU). Ministerio de Universidades.</w:t>
      </w:r>
    </w:p>
    <w:p w:rsidR="002F1428" w:rsidRPr="00EC632F" w:rsidRDefault="002F1428" w:rsidP="00EF3741">
      <w:pPr>
        <w:spacing w:line="240" w:lineRule="auto"/>
        <w:jc w:val="both"/>
        <w:rPr>
          <w:rFonts w:ascii="Arial" w:hAnsi="Arial" w:cs="Arial"/>
          <w:color w:val="0E1116"/>
          <w:sz w:val="20"/>
          <w:szCs w:val="20"/>
        </w:rPr>
      </w:pPr>
    </w:p>
    <w:p w:rsidR="00EF3741" w:rsidRPr="00EC632F" w:rsidRDefault="00EF3741" w:rsidP="00EF3741">
      <w:pPr>
        <w:spacing w:line="240" w:lineRule="auto"/>
        <w:jc w:val="both"/>
        <w:rPr>
          <w:rFonts w:ascii="Arial" w:hAnsi="Arial" w:cs="Arial"/>
          <w:b/>
          <w:color w:val="0E1116"/>
        </w:rPr>
      </w:pPr>
      <w:r w:rsidRPr="00EC632F">
        <w:rPr>
          <w:rFonts w:ascii="Arial" w:hAnsi="Arial" w:cs="Arial"/>
          <w:b/>
          <w:color w:val="0E1116"/>
        </w:rPr>
        <w:t>Preinscripción a titulaciones de grado en universidades públicas presenciales. Curso 2019-2020</w:t>
      </w:r>
    </w:p>
    <w:p w:rsidR="00EF3741" w:rsidRPr="00EC632F" w:rsidRDefault="00EF3741" w:rsidP="00EF3741">
      <w:pPr>
        <w:spacing w:line="240" w:lineRule="auto"/>
        <w:jc w:val="both"/>
        <w:rPr>
          <w:rFonts w:ascii="Arial" w:hAnsi="Arial" w:cs="Arial"/>
          <w:color w:val="0E1116"/>
        </w:rPr>
      </w:pPr>
      <w:r w:rsidRPr="00EC632F">
        <w:rPr>
          <w:rFonts w:ascii="Arial" w:hAnsi="Arial" w:cs="Arial"/>
          <w:color w:val="0E1116"/>
        </w:rPr>
        <w:t>Plazas ofertadas, matrícula de nuevo ingreso por preinscripción, demanda (preinscritos en primera opción) y matriculados en primera opción en las titulaciones de grado de las universidades públicas presenciales españolas. Se ofrece el dato para el curso 2019-2020 así como la variación respecto al curso 2015-2016. También se ofrece la relación que se establece por variables, tanto para el total como por ramas de enseñanza: tasa de ocupación se refiere a la ratio matrícula/oferta (en porcentaje) y valora si las universidades pueden cubrir las plazas que ofrecen con matriculados de nuevo ingreso por preinscripción, esto es, evalúa la eficiencia productiva del sistema; tasa de preferencia se define como la ratio, en porcentaje, entre oferta y demanda (preinscritos en primera opción), esto es, qué porcentaje de las plazas ofertadas se podrían cubrir con estudiantes que han elegido el estudio en primera opción; tasa de adecuación es la ratio, en porcentaje, entre la matrícula de nuevo ingreso por preinscripción en primera opción y la matrícula total de nuevo ingreso por preinscripción e indica qué porcentaje de estudiantes de nuevo ingreso en un grado procedentes de preinscripción han elegido esa titulación en primera opción. En las titulaciones sin límite de plazas se ha computado la oferta en primer año que figura en la memoria de verificación del título. La posición ocupada entre las universidades españolas se muestra en una ordenación descendente, de mayor a menor valor de la variable o indicador en cuestión.</w:t>
      </w:r>
    </w:p>
    <w:p w:rsidR="00EF3741" w:rsidRPr="002F25BE" w:rsidRDefault="00EF3741" w:rsidP="00EF3741">
      <w:pPr>
        <w:spacing w:line="240" w:lineRule="auto"/>
        <w:jc w:val="both"/>
        <w:rPr>
          <w:rFonts w:ascii="Arial" w:hAnsi="Arial" w:cs="Arial"/>
          <w:color w:val="0E1116"/>
          <w:sz w:val="18"/>
          <w:szCs w:val="18"/>
        </w:rPr>
      </w:pPr>
      <w:r w:rsidRPr="002F25BE">
        <w:rPr>
          <w:rFonts w:ascii="Arial" w:hAnsi="Arial" w:cs="Arial"/>
          <w:color w:val="0E1116"/>
          <w:sz w:val="18"/>
          <w:szCs w:val="18"/>
        </w:rPr>
        <w:t>Fuente: Estadística de universidades, centros y titulaciones. Sistema Integrado de Información Universitaria (SIIU). Ministerio de Universidades.</w:t>
      </w:r>
    </w:p>
    <w:p w:rsidR="001E0CD5" w:rsidRPr="00EC632F" w:rsidRDefault="001E0CD5" w:rsidP="00103C54">
      <w:pPr>
        <w:spacing w:line="240" w:lineRule="auto"/>
        <w:jc w:val="both"/>
        <w:rPr>
          <w:rFonts w:ascii="Arial" w:hAnsi="Arial" w:cs="Arial"/>
          <w:b/>
          <w:color w:val="0E1116"/>
        </w:rPr>
      </w:pPr>
    </w:p>
    <w:p w:rsidR="00103C54" w:rsidRPr="00EC632F" w:rsidRDefault="00103C54" w:rsidP="00103C54">
      <w:pPr>
        <w:spacing w:line="240" w:lineRule="auto"/>
        <w:jc w:val="both"/>
        <w:rPr>
          <w:rFonts w:ascii="Arial" w:hAnsi="Arial" w:cs="Arial"/>
          <w:b/>
          <w:color w:val="0E1116"/>
        </w:rPr>
      </w:pPr>
      <w:r w:rsidRPr="00EC632F">
        <w:rPr>
          <w:rFonts w:ascii="Arial" w:hAnsi="Arial" w:cs="Arial"/>
          <w:b/>
          <w:color w:val="0E1116"/>
        </w:rPr>
        <w:t>Personal docente e investigador (PDI), curso 2018-2019</w:t>
      </w:r>
    </w:p>
    <w:p w:rsidR="00103C54" w:rsidRPr="00EC632F" w:rsidRDefault="00103C54" w:rsidP="00103C54">
      <w:pPr>
        <w:spacing w:line="240" w:lineRule="auto"/>
        <w:jc w:val="both"/>
        <w:rPr>
          <w:rFonts w:ascii="Arial" w:hAnsi="Arial" w:cs="Arial"/>
          <w:color w:val="0E1116"/>
        </w:rPr>
      </w:pPr>
      <w:r w:rsidRPr="00EC632F">
        <w:rPr>
          <w:rFonts w:ascii="Arial" w:hAnsi="Arial" w:cs="Arial"/>
          <w:color w:val="0E1116"/>
        </w:rPr>
        <w:t>Total del personal docente e investigador de las universidades españolas y su perfil, entendido como el porcentaje de mujeres, PDI de nacionalidad extranjera, trabajando a tiempo completo, con el título de doctor y permanente (funcionarios y contratados indefinidos), así como su distribución por edades. Del mismo modo se ofrece la ratio entre el PDI y el personal de administración y servicios, tomados ambos en equivalencia a tiempo completo y entre el PDI en equivalencia a tiempo completo y los estudiantes matriculados en grado y máster oficial a tiempo completo. También se incluye el porcentaje del cuerpo docente universitario-CDU (funcionarios de carrera, no interinos) que tiene al menos reconocido un sexenio de investigación, así como el número de sexenios por CDU total y CDU con al menos un sexenio reconocido. El PDI de las universidades públicas está compuesto por personal funcionario, profesorado contratado y personal emérito. El PDI de las universidades privadas está compuesto por profesorado contratado. No se computa como PDI al personal contratado para realizar como actividad principal la investigadora, independientemente de si su contrato conlleva o no carga docente. La posición ocupada entre las universidades españolas se muestra en una ordenación descendente, de mayor a menor valor de la variable o indicador en cuestión.</w:t>
      </w:r>
    </w:p>
    <w:p w:rsidR="00103C54" w:rsidRPr="002F25BE" w:rsidRDefault="00103C54" w:rsidP="00103C54">
      <w:pPr>
        <w:spacing w:line="240" w:lineRule="auto"/>
        <w:jc w:val="both"/>
        <w:rPr>
          <w:rFonts w:ascii="Arial" w:hAnsi="Arial" w:cs="Arial"/>
          <w:color w:val="0E1116"/>
          <w:sz w:val="18"/>
          <w:szCs w:val="18"/>
        </w:rPr>
      </w:pPr>
      <w:r w:rsidRPr="002F25BE">
        <w:rPr>
          <w:rFonts w:ascii="Arial" w:hAnsi="Arial" w:cs="Arial"/>
          <w:color w:val="0E1116"/>
          <w:sz w:val="18"/>
          <w:szCs w:val="18"/>
        </w:rPr>
        <w:t>Fuente: Estadística de personal de las universidades. Sistema Integrado de Información Universitaria (SIIU). Ministerio de Universidades.</w:t>
      </w:r>
    </w:p>
    <w:p w:rsidR="00A11B8F" w:rsidRPr="00EC632F" w:rsidRDefault="00A11B8F" w:rsidP="00951FF0">
      <w:pPr>
        <w:spacing w:line="240" w:lineRule="auto"/>
        <w:jc w:val="both"/>
        <w:rPr>
          <w:rFonts w:ascii="Arial" w:hAnsi="Arial" w:cs="Arial"/>
          <w:b/>
          <w:color w:val="0E1116"/>
        </w:rPr>
      </w:pPr>
    </w:p>
    <w:p w:rsidR="008A473E" w:rsidRDefault="008A473E" w:rsidP="00951FF0">
      <w:pPr>
        <w:spacing w:line="240" w:lineRule="auto"/>
        <w:jc w:val="both"/>
        <w:rPr>
          <w:rFonts w:ascii="Arial" w:hAnsi="Arial" w:cs="Arial"/>
          <w:b/>
          <w:color w:val="0E1116"/>
        </w:rPr>
      </w:pPr>
    </w:p>
    <w:p w:rsidR="003E307B" w:rsidRPr="00EC632F" w:rsidRDefault="00DF4FCD" w:rsidP="00951FF0">
      <w:pPr>
        <w:spacing w:line="240" w:lineRule="auto"/>
        <w:jc w:val="both"/>
        <w:rPr>
          <w:rFonts w:ascii="Arial" w:hAnsi="Arial" w:cs="Arial"/>
          <w:b/>
          <w:color w:val="0E1116"/>
        </w:rPr>
      </w:pPr>
      <w:r w:rsidRPr="00EC632F">
        <w:rPr>
          <w:rFonts w:ascii="Arial" w:hAnsi="Arial" w:cs="Arial"/>
          <w:b/>
          <w:color w:val="0E1116"/>
        </w:rPr>
        <w:lastRenderedPageBreak/>
        <w:t>Presupuestos liquidados. 2018, curso 2018-2019. Universidades públicas presenciales</w:t>
      </w:r>
    </w:p>
    <w:p w:rsidR="00044D2E" w:rsidRPr="00EC632F" w:rsidRDefault="00A027F3" w:rsidP="00951FF0">
      <w:pPr>
        <w:spacing w:line="240" w:lineRule="auto"/>
        <w:jc w:val="both"/>
        <w:rPr>
          <w:rFonts w:ascii="Arial" w:hAnsi="Arial" w:cs="Arial"/>
          <w:color w:val="0E1116"/>
        </w:rPr>
      </w:pPr>
      <w:r w:rsidRPr="00EC632F">
        <w:rPr>
          <w:rFonts w:ascii="Arial" w:hAnsi="Arial" w:cs="Arial"/>
          <w:color w:val="0E1116"/>
        </w:rPr>
        <w:t xml:space="preserve">Total de ingresos y gastos liquidados en las universidades públicas presenciales. </w:t>
      </w:r>
      <w:r w:rsidR="00497B4D" w:rsidRPr="00EC632F">
        <w:rPr>
          <w:rFonts w:ascii="Arial" w:hAnsi="Arial" w:cs="Arial"/>
          <w:color w:val="0E1116"/>
        </w:rPr>
        <w:t>Se incluyen i</w:t>
      </w:r>
      <w:r w:rsidR="000A4666" w:rsidRPr="00EC632F">
        <w:rPr>
          <w:rFonts w:ascii="Arial" w:hAnsi="Arial" w:cs="Arial"/>
          <w:color w:val="0E1116"/>
        </w:rPr>
        <w:t xml:space="preserve">ndicadores relativos </w:t>
      </w:r>
      <w:r w:rsidR="00160D6C" w:rsidRPr="00EC632F">
        <w:rPr>
          <w:rFonts w:ascii="Arial" w:hAnsi="Arial" w:cs="Arial"/>
          <w:color w:val="0E1116"/>
        </w:rPr>
        <w:t>a la ratio entre las tasas, precios públicos y otros ingresos y el total de alumnos matriculados y entre las transferencias corrientes y de capital y el total de alumnos matriculados, por el lado de los ingresos; y entre los gastos de personal y el total de empleados (suma de personal docente e investigador, de administración y servicios, empleado investigador y técnico de apoyo) y entre los gastos corrientes totales y el total de alumnos matriculados, por el lado de los gastos.</w:t>
      </w:r>
      <w:r w:rsidR="00497B4D" w:rsidRPr="00EC632F">
        <w:rPr>
          <w:rFonts w:ascii="Arial" w:hAnsi="Arial" w:cs="Arial"/>
          <w:color w:val="0E1116"/>
        </w:rPr>
        <w:t xml:space="preserve"> Asimismo se ofrecen indicadores relativos, en porcentaje, al s</w:t>
      </w:r>
      <w:r w:rsidR="00703294" w:rsidRPr="00EC632F">
        <w:rPr>
          <w:rFonts w:ascii="Arial" w:hAnsi="Arial" w:cs="Arial"/>
          <w:color w:val="0E1116"/>
        </w:rPr>
        <w:t>aldo presupuestario</w:t>
      </w:r>
      <w:r w:rsidR="00497B4D" w:rsidRPr="00EC632F">
        <w:rPr>
          <w:rFonts w:ascii="Arial" w:hAnsi="Arial" w:cs="Arial"/>
          <w:color w:val="0E1116"/>
        </w:rPr>
        <w:t xml:space="preserve"> </w:t>
      </w:r>
      <w:r w:rsidR="00703294" w:rsidRPr="00EC632F">
        <w:rPr>
          <w:rFonts w:ascii="Arial" w:hAnsi="Arial" w:cs="Arial"/>
          <w:color w:val="0E1116"/>
        </w:rPr>
        <w:t>(ingresos totales menos gastos totales dividido por ingresos totales)</w:t>
      </w:r>
      <w:r w:rsidR="00497B4D" w:rsidRPr="00EC632F">
        <w:rPr>
          <w:rFonts w:ascii="Arial" w:hAnsi="Arial" w:cs="Arial"/>
          <w:color w:val="0E1116"/>
        </w:rPr>
        <w:t>, a la c</w:t>
      </w:r>
      <w:r w:rsidR="00703294" w:rsidRPr="00EC632F">
        <w:rPr>
          <w:rFonts w:ascii="Arial" w:hAnsi="Arial" w:cs="Arial"/>
          <w:color w:val="0E1116"/>
        </w:rPr>
        <w:t>apacidad/necesidad financiación (ingresos no financieros menos gastos no financieros dividido por ingresos no financieros)</w:t>
      </w:r>
      <w:r w:rsidR="00497B4D" w:rsidRPr="00EC632F">
        <w:rPr>
          <w:rFonts w:ascii="Arial" w:hAnsi="Arial" w:cs="Arial"/>
          <w:color w:val="0E1116"/>
        </w:rPr>
        <w:t xml:space="preserve"> y a la tasa</w:t>
      </w:r>
      <w:r w:rsidR="00703294" w:rsidRPr="00EC632F">
        <w:rPr>
          <w:rFonts w:ascii="Arial" w:hAnsi="Arial" w:cs="Arial"/>
          <w:color w:val="0E1116"/>
        </w:rPr>
        <w:t xml:space="preserve"> de ahorro bruto</w:t>
      </w:r>
      <w:r w:rsidR="00497B4D" w:rsidRPr="00EC632F">
        <w:rPr>
          <w:rFonts w:ascii="Arial" w:hAnsi="Arial" w:cs="Arial"/>
          <w:color w:val="0E1116"/>
        </w:rPr>
        <w:t xml:space="preserve"> </w:t>
      </w:r>
      <w:r w:rsidR="00703294" w:rsidRPr="00EC632F">
        <w:rPr>
          <w:rFonts w:ascii="Arial" w:hAnsi="Arial" w:cs="Arial"/>
          <w:color w:val="0E1116"/>
        </w:rPr>
        <w:t>(ingresos corrientes menos gastos corrientes dividido por ingresos corrientes)</w:t>
      </w:r>
      <w:r w:rsidR="00497B4D" w:rsidRPr="00EC632F">
        <w:rPr>
          <w:rFonts w:ascii="Arial" w:hAnsi="Arial" w:cs="Arial"/>
          <w:color w:val="0E1116"/>
        </w:rPr>
        <w:t>. También</w:t>
      </w:r>
      <w:r w:rsidR="00DE695B" w:rsidRPr="00EC632F">
        <w:rPr>
          <w:rFonts w:ascii="Arial" w:hAnsi="Arial" w:cs="Arial"/>
          <w:color w:val="0E1116"/>
        </w:rPr>
        <w:t xml:space="preserve"> se muestra la variación entre 2009 y </w:t>
      </w:r>
      <w:r w:rsidR="00A42406" w:rsidRPr="00EC632F">
        <w:rPr>
          <w:rFonts w:ascii="Arial" w:hAnsi="Arial" w:cs="Arial"/>
          <w:color w:val="0E1116"/>
        </w:rPr>
        <w:t>2018</w:t>
      </w:r>
      <w:r w:rsidR="00DE695B" w:rsidRPr="00EC632F">
        <w:rPr>
          <w:rFonts w:ascii="Arial" w:hAnsi="Arial" w:cs="Arial"/>
          <w:color w:val="0E1116"/>
        </w:rPr>
        <w:t xml:space="preserve"> y 2017 y 2018 de los ingresos </w:t>
      </w:r>
      <w:r w:rsidR="00044D2E" w:rsidRPr="00EC632F">
        <w:rPr>
          <w:rFonts w:ascii="Arial" w:hAnsi="Arial" w:cs="Arial"/>
          <w:color w:val="0E1116"/>
        </w:rPr>
        <w:t>corrientes, de capital y no financieros y de los capítulos de tasas, precios públicos y otros ingresos; transferencias corrientes y transferencias de capital; así como de los gastos corrientes, de capital y no financieros y de los capítulos de gastos de personal, gastos corrientes en bienes y servicios e inversiones reales. La posición ocupada entre las universidades españolas se muestra en una ordenación descendente, de mayor a menor valor de la variable o indicador en cuestión.</w:t>
      </w:r>
    </w:p>
    <w:p w:rsidR="00AA2359" w:rsidRPr="002F25BE" w:rsidRDefault="00A027F3" w:rsidP="00951FF0">
      <w:pPr>
        <w:spacing w:line="240" w:lineRule="auto"/>
        <w:jc w:val="both"/>
        <w:rPr>
          <w:rFonts w:ascii="Arial" w:hAnsi="Arial" w:cs="Arial"/>
          <w:color w:val="0E1116"/>
          <w:sz w:val="18"/>
          <w:szCs w:val="18"/>
        </w:rPr>
      </w:pPr>
      <w:bookmarkStart w:id="1" w:name="_Hlk55385403"/>
      <w:r w:rsidRPr="002F25BE">
        <w:rPr>
          <w:rFonts w:ascii="Arial" w:hAnsi="Arial" w:cs="Arial"/>
          <w:color w:val="0E1116"/>
          <w:sz w:val="18"/>
          <w:szCs w:val="18"/>
        </w:rPr>
        <w:t>Fuente: Elaboración propia con datos sobre presupuestos liquidados recopilados por la Fundación CYD y datos de la Estadística de estudiantes</w:t>
      </w:r>
      <w:r w:rsidR="00AB5320" w:rsidRPr="002F25BE">
        <w:rPr>
          <w:rFonts w:ascii="Arial" w:hAnsi="Arial" w:cs="Arial"/>
          <w:color w:val="0E1116"/>
          <w:sz w:val="18"/>
          <w:szCs w:val="18"/>
        </w:rPr>
        <w:t xml:space="preserve"> y la Estadística de personal de las universidades</w:t>
      </w:r>
      <w:r w:rsidRPr="002F25BE">
        <w:rPr>
          <w:rFonts w:ascii="Arial" w:hAnsi="Arial" w:cs="Arial"/>
          <w:color w:val="0E1116"/>
          <w:sz w:val="18"/>
          <w:szCs w:val="18"/>
        </w:rPr>
        <w:t xml:space="preserve">. Sistema Integrado de Información </w:t>
      </w:r>
      <w:r w:rsidR="00044D2E" w:rsidRPr="002F25BE">
        <w:rPr>
          <w:rFonts w:ascii="Arial" w:hAnsi="Arial" w:cs="Arial"/>
          <w:color w:val="0E1116"/>
          <w:sz w:val="18"/>
          <w:szCs w:val="18"/>
        </w:rPr>
        <w:t>Universitaria (SIIU). Ministerio de Universidades.</w:t>
      </w:r>
    </w:p>
    <w:bookmarkEnd w:id="1"/>
    <w:p w:rsidR="005E6D8C" w:rsidRPr="00EC632F" w:rsidRDefault="005E6D8C" w:rsidP="00103C54">
      <w:pPr>
        <w:spacing w:line="240" w:lineRule="auto"/>
        <w:jc w:val="both"/>
        <w:rPr>
          <w:rFonts w:ascii="Arial" w:hAnsi="Arial" w:cs="Arial"/>
          <w:b/>
          <w:color w:val="0E1116"/>
        </w:rPr>
      </w:pPr>
    </w:p>
    <w:p w:rsidR="00103C54" w:rsidRPr="00EC632F" w:rsidRDefault="00103C54" w:rsidP="00103C54">
      <w:pPr>
        <w:spacing w:line="240" w:lineRule="auto"/>
        <w:jc w:val="both"/>
        <w:rPr>
          <w:rFonts w:ascii="Arial" w:hAnsi="Arial" w:cs="Arial"/>
          <w:b/>
          <w:color w:val="0E1116"/>
        </w:rPr>
      </w:pPr>
      <w:r w:rsidRPr="00EC632F">
        <w:rPr>
          <w:rFonts w:ascii="Arial" w:hAnsi="Arial" w:cs="Arial"/>
          <w:b/>
          <w:color w:val="0E1116"/>
        </w:rPr>
        <w:t>Egresados totales (grado, máster oficial y doctorado). Curso 2018-2019</w:t>
      </w:r>
    </w:p>
    <w:p w:rsidR="00103C54" w:rsidRPr="00EC632F" w:rsidRDefault="00103C54" w:rsidP="00103C54">
      <w:pPr>
        <w:spacing w:line="240" w:lineRule="auto"/>
        <w:jc w:val="both"/>
        <w:rPr>
          <w:rFonts w:ascii="Arial" w:hAnsi="Arial" w:cs="Arial"/>
          <w:color w:val="0E1116"/>
        </w:rPr>
      </w:pPr>
      <w:r w:rsidRPr="00EC632F">
        <w:rPr>
          <w:rFonts w:ascii="Arial" w:hAnsi="Arial" w:cs="Arial"/>
          <w:color w:val="0E1116"/>
        </w:rPr>
        <w:t>Suma de los egresados en grado, máster oficial y doctorado en las universidades españolas y perfil de estos. Se ofrece el porcentaje de egresados mujeres, en la edad típica universitaria (menos de 25 años en estudios de grado y 30 y menos en máster oficial y doctorado), de nacionalidad extranjera y de éstos los que proceden de América Latina y el Caribe y porcentaje que representan los egresados en máster sobre el total y de doctorado sobre el total. También se muestra el porcentaje de egresados que pertenecen a campos STEM (</w:t>
      </w:r>
      <w:r w:rsidRPr="00EC632F">
        <w:rPr>
          <w:rFonts w:ascii="Arial" w:hAnsi="Arial" w:cs="Arial"/>
          <w:i/>
          <w:color w:val="0E1116"/>
        </w:rPr>
        <w:t>science, technology, engineering and mathematics</w:t>
      </w:r>
      <w:r w:rsidRPr="00EC632F">
        <w:rPr>
          <w:rFonts w:ascii="Arial" w:hAnsi="Arial" w:cs="Arial"/>
          <w:color w:val="0E1116"/>
        </w:rPr>
        <w:t>), que incluyen los de ciencias de la vida, ciencias físicas, químicas, geológicas, matemáticas y estadística, informática, ingenierías y arquitectura y construcción. Asimismo se muestra el porcentaje que representan las mujeres entre los egresados en STEM. La posición ocupada entre las universidades españolas se muestra en una ordenación descendente, de mayor a menor valor de la variable o indicador en cuestión.</w:t>
      </w:r>
    </w:p>
    <w:p w:rsidR="00103C54" w:rsidRPr="002F25BE" w:rsidRDefault="00103C54" w:rsidP="00103C54">
      <w:pPr>
        <w:spacing w:line="240" w:lineRule="auto"/>
        <w:jc w:val="both"/>
        <w:rPr>
          <w:rFonts w:ascii="Arial" w:hAnsi="Arial" w:cs="Arial"/>
          <w:color w:val="0E1116"/>
          <w:sz w:val="18"/>
          <w:szCs w:val="18"/>
        </w:rPr>
      </w:pPr>
      <w:r w:rsidRPr="002F25BE">
        <w:rPr>
          <w:rFonts w:ascii="Arial" w:hAnsi="Arial" w:cs="Arial"/>
          <w:color w:val="0E1116"/>
          <w:sz w:val="18"/>
          <w:szCs w:val="18"/>
        </w:rPr>
        <w:t>Fuente: Estadística de estudiantes. Sistema Integrado de Información Universitaria (SIIU). Ministerio de Universidades.</w:t>
      </w:r>
    </w:p>
    <w:p w:rsidR="00103C54" w:rsidRDefault="00103C54" w:rsidP="00103C54">
      <w:pPr>
        <w:spacing w:line="240" w:lineRule="auto"/>
        <w:jc w:val="both"/>
        <w:rPr>
          <w:rFonts w:ascii="Arial" w:hAnsi="Arial" w:cs="Arial"/>
          <w:b/>
          <w:color w:val="0E1116"/>
        </w:rPr>
      </w:pPr>
    </w:p>
    <w:p w:rsidR="008A473E" w:rsidRDefault="008A473E" w:rsidP="00103C54">
      <w:pPr>
        <w:spacing w:line="240" w:lineRule="auto"/>
        <w:jc w:val="both"/>
        <w:rPr>
          <w:rFonts w:ascii="Arial" w:hAnsi="Arial" w:cs="Arial"/>
          <w:b/>
          <w:color w:val="0E1116"/>
        </w:rPr>
      </w:pPr>
    </w:p>
    <w:p w:rsidR="008A473E" w:rsidRDefault="008A473E" w:rsidP="00103C54">
      <w:pPr>
        <w:spacing w:line="240" w:lineRule="auto"/>
        <w:jc w:val="both"/>
        <w:rPr>
          <w:rFonts w:ascii="Arial" w:hAnsi="Arial" w:cs="Arial"/>
          <w:b/>
          <w:color w:val="0E1116"/>
        </w:rPr>
      </w:pPr>
    </w:p>
    <w:p w:rsidR="008A473E" w:rsidRDefault="008A473E" w:rsidP="00103C54">
      <w:pPr>
        <w:spacing w:line="240" w:lineRule="auto"/>
        <w:jc w:val="both"/>
        <w:rPr>
          <w:rFonts w:ascii="Arial" w:hAnsi="Arial" w:cs="Arial"/>
          <w:b/>
          <w:color w:val="0E1116"/>
        </w:rPr>
      </w:pPr>
    </w:p>
    <w:p w:rsidR="008A473E" w:rsidRPr="00EC632F" w:rsidRDefault="008A473E" w:rsidP="00103C54">
      <w:pPr>
        <w:spacing w:line="240" w:lineRule="auto"/>
        <w:jc w:val="both"/>
        <w:rPr>
          <w:rFonts w:ascii="Arial" w:hAnsi="Arial" w:cs="Arial"/>
          <w:b/>
          <w:color w:val="0E1116"/>
        </w:rPr>
      </w:pPr>
    </w:p>
    <w:p w:rsidR="00C14AB7" w:rsidRPr="00EC632F" w:rsidRDefault="00C14AB7" w:rsidP="00951FF0">
      <w:pPr>
        <w:spacing w:line="240" w:lineRule="auto"/>
        <w:jc w:val="both"/>
        <w:rPr>
          <w:rFonts w:ascii="Arial" w:hAnsi="Arial" w:cs="Arial"/>
          <w:b/>
          <w:color w:val="0E1116"/>
        </w:rPr>
      </w:pPr>
      <w:r w:rsidRPr="00EC632F">
        <w:rPr>
          <w:rFonts w:ascii="Arial" w:hAnsi="Arial" w:cs="Arial"/>
          <w:b/>
          <w:color w:val="0E1116"/>
        </w:rPr>
        <w:lastRenderedPageBreak/>
        <w:t>Indicadores de desempeño académico. Curso 2018-2019</w:t>
      </w:r>
    </w:p>
    <w:p w:rsidR="00A862CD" w:rsidRPr="00EC632F" w:rsidRDefault="00BD7B5E" w:rsidP="00951FF0">
      <w:pPr>
        <w:spacing w:line="240" w:lineRule="auto"/>
        <w:jc w:val="both"/>
        <w:rPr>
          <w:rFonts w:ascii="Arial" w:hAnsi="Arial" w:cs="Arial"/>
          <w:color w:val="0E1116"/>
        </w:rPr>
      </w:pPr>
      <w:r w:rsidRPr="00EC632F">
        <w:rPr>
          <w:rFonts w:ascii="Arial" w:hAnsi="Arial" w:cs="Arial"/>
          <w:color w:val="0E1116"/>
        </w:rPr>
        <w:t>Indicadores de desempeño académico de matriculados y egresados (tasa de idoneidad y de graduación), tanto para grado como para máster oficial. La tasa de rendimiento se define como la ratio, en porcentaje, entre los créditos aprobados y los matriculados.</w:t>
      </w:r>
      <w:r w:rsidR="00A862CD" w:rsidRPr="00EC632F">
        <w:rPr>
          <w:rFonts w:ascii="Arial" w:hAnsi="Arial" w:cs="Arial"/>
          <w:color w:val="0E1116"/>
        </w:rPr>
        <w:t xml:space="preserve"> También se incluye el número medio de créditos matriculados durante el curso.</w:t>
      </w:r>
      <w:r w:rsidRPr="00EC632F">
        <w:rPr>
          <w:rFonts w:ascii="Arial" w:hAnsi="Arial" w:cs="Arial"/>
          <w:color w:val="0E1116"/>
        </w:rPr>
        <w:t xml:space="preserve"> El </w:t>
      </w:r>
      <w:r w:rsidR="00EC3FE6" w:rsidRPr="00EC632F">
        <w:rPr>
          <w:rFonts w:ascii="Arial" w:hAnsi="Arial" w:cs="Arial"/>
          <w:color w:val="0E1116"/>
        </w:rPr>
        <w:t>porcentaje</w:t>
      </w:r>
      <w:r w:rsidRPr="00EC632F">
        <w:rPr>
          <w:rFonts w:ascii="Arial" w:hAnsi="Arial" w:cs="Arial"/>
          <w:color w:val="0E1116"/>
        </w:rPr>
        <w:t xml:space="preserve"> de créditos en segunda y sucesivas matrículas son los créditos que no se han aprobado y se han tenido que volver a matricular en proporción del total de créditos matriculados. La tasa de abandono del estudio en primer año se define como la proporción de estudiantes de nuevo ingreso en el curso X, no titulados en ese curso y no matriculados en ese estudio en el curso X+1 ni X+2. La tasa de abandono del </w:t>
      </w:r>
      <w:r w:rsidR="00A862CD" w:rsidRPr="00EC632F">
        <w:rPr>
          <w:rFonts w:ascii="Arial" w:hAnsi="Arial" w:cs="Arial"/>
          <w:color w:val="0E1116"/>
        </w:rPr>
        <w:t>SUE</w:t>
      </w:r>
      <w:r w:rsidRPr="00EC632F">
        <w:rPr>
          <w:rFonts w:ascii="Arial" w:hAnsi="Arial" w:cs="Arial"/>
          <w:color w:val="0E1116"/>
        </w:rPr>
        <w:t xml:space="preserve"> en primer año se define como la proporción de estudiantes de nuevo ingreso en el curso X, no titulados en ese curso y no matriculados en ese estudio </w:t>
      </w:r>
      <w:r w:rsidR="00B96EF0" w:rsidRPr="00EC632F">
        <w:rPr>
          <w:rFonts w:ascii="Arial" w:hAnsi="Arial" w:cs="Arial"/>
          <w:color w:val="0E1116"/>
        </w:rPr>
        <w:t xml:space="preserve">ni en ningún otro </w:t>
      </w:r>
      <w:r w:rsidRPr="00EC632F">
        <w:rPr>
          <w:rFonts w:ascii="Arial" w:hAnsi="Arial" w:cs="Arial"/>
          <w:color w:val="0E1116"/>
        </w:rPr>
        <w:t>en el curso X+1 ni X+2.</w:t>
      </w:r>
      <w:r w:rsidR="00B96EF0" w:rsidRPr="00EC632F">
        <w:rPr>
          <w:rFonts w:ascii="Arial" w:hAnsi="Arial" w:cs="Arial"/>
          <w:color w:val="0E1116"/>
        </w:rPr>
        <w:t xml:space="preserve"> </w:t>
      </w:r>
      <w:r w:rsidRPr="00EC632F">
        <w:rPr>
          <w:rFonts w:ascii="Arial" w:hAnsi="Arial" w:cs="Arial"/>
          <w:color w:val="0E1116"/>
        </w:rPr>
        <w:t xml:space="preserve">La tasa de idoneidad es el porcentaje de estudiantes que finalizan la titulación en el tiempo teórico previsto. Se consideran grados de cuatro años (cohorte de entrada </w:t>
      </w:r>
      <w:r w:rsidR="00093974" w:rsidRPr="00EC632F">
        <w:rPr>
          <w:rFonts w:ascii="Arial" w:hAnsi="Arial" w:cs="Arial"/>
          <w:color w:val="0E1116"/>
        </w:rPr>
        <w:t>2015-2016</w:t>
      </w:r>
      <w:r w:rsidRPr="00EC632F">
        <w:rPr>
          <w:rFonts w:ascii="Arial" w:hAnsi="Arial" w:cs="Arial"/>
          <w:color w:val="0E1116"/>
        </w:rPr>
        <w:t>)</w:t>
      </w:r>
      <w:r w:rsidR="00A862CD" w:rsidRPr="00EC632F">
        <w:rPr>
          <w:rFonts w:ascii="Arial" w:hAnsi="Arial" w:cs="Arial"/>
          <w:color w:val="0E1116"/>
        </w:rPr>
        <w:t xml:space="preserve"> y másteres oficiales de uno (entrada 2018-2019),</w:t>
      </w:r>
      <w:r w:rsidRPr="00EC632F">
        <w:rPr>
          <w:rFonts w:ascii="Arial" w:hAnsi="Arial" w:cs="Arial"/>
          <w:color w:val="0E1116"/>
        </w:rPr>
        <w:t xml:space="preserve"> los mayoritarios. La tasa de graduación se refiere al porcentaje de estudiantes que finalizan la titulación en el tiempo teórico previsto más un curso </w:t>
      </w:r>
      <w:r w:rsidR="00F71EC9" w:rsidRPr="00EC632F">
        <w:rPr>
          <w:rFonts w:ascii="Arial" w:hAnsi="Arial" w:cs="Arial"/>
          <w:color w:val="0E1116"/>
        </w:rPr>
        <w:t>adicional</w:t>
      </w:r>
      <w:r w:rsidRPr="00EC632F">
        <w:rPr>
          <w:rFonts w:ascii="Arial" w:hAnsi="Arial" w:cs="Arial"/>
          <w:color w:val="0E1116"/>
        </w:rPr>
        <w:t xml:space="preserve"> (cohorte de entrada </w:t>
      </w:r>
      <w:r w:rsidR="00093974" w:rsidRPr="00EC632F">
        <w:rPr>
          <w:rFonts w:ascii="Arial" w:hAnsi="Arial" w:cs="Arial"/>
          <w:color w:val="0E1116"/>
        </w:rPr>
        <w:t>2014-2015</w:t>
      </w:r>
      <w:r w:rsidR="00A862CD" w:rsidRPr="00EC632F">
        <w:rPr>
          <w:rFonts w:ascii="Arial" w:hAnsi="Arial" w:cs="Arial"/>
          <w:color w:val="0E1116"/>
        </w:rPr>
        <w:t xml:space="preserve"> y 2017-2018, respectivamente, para grado y máster oficial</w:t>
      </w:r>
      <w:r w:rsidRPr="00EC632F">
        <w:rPr>
          <w:rFonts w:ascii="Arial" w:hAnsi="Arial" w:cs="Arial"/>
          <w:color w:val="0E1116"/>
        </w:rPr>
        <w:t xml:space="preserve">). </w:t>
      </w:r>
      <w:r w:rsidR="00A862CD" w:rsidRPr="00EC632F">
        <w:rPr>
          <w:rFonts w:ascii="Arial" w:hAnsi="Arial" w:cs="Arial"/>
          <w:color w:val="0E1116"/>
        </w:rPr>
        <w:t>La posición ocupada entre las universidades españolas se muestra en una ordenación descendente, de mayor a menor valor de la variable o indicador en cuestión.</w:t>
      </w:r>
    </w:p>
    <w:p w:rsidR="00B96EF0" w:rsidRPr="002F25BE" w:rsidRDefault="00B96EF0" w:rsidP="00951FF0">
      <w:pPr>
        <w:spacing w:line="240" w:lineRule="auto"/>
        <w:jc w:val="both"/>
        <w:rPr>
          <w:rFonts w:ascii="Arial" w:hAnsi="Arial" w:cs="Arial"/>
          <w:color w:val="0E1116"/>
          <w:sz w:val="18"/>
          <w:szCs w:val="18"/>
        </w:rPr>
      </w:pPr>
      <w:r w:rsidRPr="002F25BE">
        <w:rPr>
          <w:rFonts w:ascii="Arial" w:hAnsi="Arial" w:cs="Arial"/>
          <w:color w:val="0E1116"/>
          <w:sz w:val="18"/>
          <w:szCs w:val="18"/>
        </w:rPr>
        <w:t>Fuente: Indicadores de rendimiento académico. Sistema Integrado de Información Universitaria (SIIU). Ministerio de Universidades.</w:t>
      </w:r>
    </w:p>
    <w:p w:rsidR="0081763E" w:rsidRPr="00EC632F" w:rsidRDefault="0081763E" w:rsidP="00951FF0">
      <w:pPr>
        <w:spacing w:line="240" w:lineRule="auto"/>
        <w:jc w:val="both"/>
        <w:rPr>
          <w:rFonts w:ascii="Arial" w:hAnsi="Arial" w:cs="Arial"/>
          <w:color w:val="0E1116"/>
        </w:rPr>
      </w:pPr>
    </w:p>
    <w:p w:rsidR="003F03A0" w:rsidRPr="00D54615" w:rsidRDefault="003F03A0" w:rsidP="003F03A0">
      <w:pPr>
        <w:spacing w:line="240" w:lineRule="auto"/>
        <w:jc w:val="both"/>
        <w:rPr>
          <w:rFonts w:ascii="Arial" w:hAnsi="Arial" w:cs="Arial"/>
          <w:b/>
          <w:color w:val="0E1116"/>
        </w:rPr>
      </w:pPr>
      <w:r w:rsidRPr="00D54615">
        <w:rPr>
          <w:rFonts w:ascii="Arial" w:hAnsi="Arial" w:cs="Arial"/>
          <w:b/>
          <w:color w:val="0E1116"/>
        </w:rPr>
        <w:t>Indicadores de inserción laboral. Situación en 2018 de los titulados en el curso 2013-2014</w:t>
      </w:r>
      <w:r>
        <w:rPr>
          <w:rFonts w:ascii="Arial" w:hAnsi="Arial" w:cs="Arial"/>
          <w:b/>
          <w:color w:val="0E1116"/>
        </w:rPr>
        <w:t>, según datos de la Seguridad Social</w:t>
      </w:r>
    </w:p>
    <w:p w:rsidR="000511F1" w:rsidRPr="00EC632F" w:rsidRDefault="00B32CA2" w:rsidP="00951FF0">
      <w:pPr>
        <w:spacing w:line="240" w:lineRule="auto"/>
        <w:jc w:val="both"/>
        <w:rPr>
          <w:rFonts w:ascii="Arial" w:hAnsi="Arial" w:cs="Arial"/>
          <w:color w:val="0E1116"/>
        </w:rPr>
      </w:pPr>
      <w:r w:rsidRPr="00EC632F">
        <w:rPr>
          <w:rFonts w:ascii="Arial" w:hAnsi="Arial" w:cs="Arial"/>
          <w:color w:val="0E1116"/>
        </w:rPr>
        <w:t>Situación en marzo de 2018 de los graduados en el curso 2013-2014</w:t>
      </w:r>
      <w:r w:rsidR="000511F1" w:rsidRPr="00EC632F">
        <w:rPr>
          <w:rFonts w:ascii="Arial" w:hAnsi="Arial" w:cs="Arial"/>
          <w:color w:val="0E1116"/>
        </w:rPr>
        <w:t>, tanto en grado (y antiguos ciclos) como en máster oficial</w:t>
      </w:r>
      <w:r w:rsidRPr="00EC632F">
        <w:rPr>
          <w:rFonts w:ascii="Arial" w:hAnsi="Arial" w:cs="Arial"/>
          <w:color w:val="0E1116"/>
        </w:rPr>
        <w:t xml:space="preserve">, según registro de la vida laboral de la Seguridad Social. La tasa de afiliación se refiere al porcentaje de los egresados en 2013-2014 dados de alta en la Seguridad Social en 2018. De ellos también se indica el porcentaje que lo estaban en el régimen de autónomos. El porcentaje de inscritos en grupos de cotización relacionados con el nivel de formación superior, el de contratados indefinidos y el de trabajadores a tiempo completo se refiere a los egresados dados de alta en la Seguridad Social por cuenta ajena. El dato de la base de cotización va relacionado con los titulados afiliados a la Seguridad Social por cuenta ajena y a tiempo completo. </w:t>
      </w:r>
      <w:r w:rsidR="000511F1" w:rsidRPr="00EC632F">
        <w:rPr>
          <w:rFonts w:ascii="Arial" w:hAnsi="Arial" w:cs="Arial"/>
          <w:color w:val="0E1116"/>
        </w:rPr>
        <w:t>La posición ocupada entre las universidades españolas se muestra en una ordenación descendente, de mayor a menor valor de la variable o indicador en cuestión.</w:t>
      </w:r>
    </w:p>
    <w:p w:rsidR="00B32CA2" w:rsidRPr="002F25BE" w:rsidRDefault="00B32CA2" w:rsidP="00951FF0">
      <w:pPr>
        <w:spacing w:line="240" w:lineRule="auto"/>
        <w:jc w:val="both"/>
        <w:rPr>
          <w:rFonts w:ascii="Arial" w:hAnsi="Arial" w:cs="Arial"/>
          <w:color w:val="0E1116"/>
          <w:sz w:val="18"/>
          <w:szCs w:val="18"/>
        </w:rPr>
      </w:pPr>
      <w:r w:rsidRPr="002F25BE">
        <w:rPr>
          <w:rFonts w:ascii="Arial" w:hAnsi="Arial" w:cs="Arial"/>
          <w:color w:val="0E1116"/>
          <w:sz w:val="18"/>
          <w:szCs w:val="18"/>
        </w:rPr>
        <w:t>Fuente: Indicadores de afiliación a la Seguridad Social de los egresados universitarios. Sistema Integrado de Información Universitaria (SIIU). Ministerio de Universidades.</w:t>
      </w:r>
    </w:p>
    <w:p w:rsidR="005778AC" w:rsidRPr="00EC632F" w:rsidRDefault="005778AC" w:rsidP="00951FF0">
      <w:pPr>
        <w:spacing w:line="240" w:lineRule="auto"/>
        <w:jc w:val="both"/>
        <w:rPr>
          <w:rFonts w:ascii="Arial" w:hAnsi="Arial" w:cs="Arial"/>
          <w:color w:val="0E1116"/>
        </w:rPr>
      </w:pPr>
    </w:p>
    <w:p w:rsidR="005778AC" w:rsidRPr="00EC632F" w:rsidRDefault="005778AC" w:rsidP="00951FF0">
      <w:pPr>
        <w:spacing w:line="240" w:lineRule="auto"/>
        <w:jc w:val="both"/>
        <w:rPr>
          <w:rFonts w:ascii="Arial" w:hAnsi="Arial" w:cs="Arial"/>
          <w:b/>
          <w:color w:val="0E1116"/>
        </w:rPr>
      </w:pPr>
      <w:r w:rsidRPr="00EC632F">
        <w:rPr>
          <w:rFonts w:ascii="Arial" w:hAnsi="Arial" w:cs="Arial"/>
          <w:b/>
          <w:color w:val="0E1116"/>
        </w:rPr>
        <w:t>Producción científica universitaria. Periodo 2014-2018</w:t>
      </w:r>
    </w:p>
    <w:p w:rsidR="00A31A5E" w:rsidRPr="00EC632F" w:rsidRDefault="00E31AC2" w:rsidP="00951FF0">
      <w:pPr>
        <w:spacing w:line="240" w:lineRule="auto"/>
        <w:jc w:val="both"/>
        <w:rPr>
          <w:rFonts w:ascii="Arial" w:hAnsi="Arial" w:cs="Arial"/>
          <w:color w:val="0E1116"/>
        </w:rPr>
      </w:pPr>
      <w:r w:rsidRPr="00EC632F">
        <w:rPr>
          <w:rFonts w:ascii="Arial" w:hAnsi="Arial" w:cs="Arial"/>
          <w:color w:val="0E1116"/>
        </w:rPr>
        <w:t>Publicaciones científicas de las universidades españolas en el cuatrienio 2014-2018 (</w:t>
      </w:r>
      <w:r w:rsidR="007F0211" w:rsidRPr="00EC632F">
        <w:rPr>
          <w:rFonts w:ascii="Arial" w:hAnsi="Arial" w:cs="Arial"/>
          <w:color w:val="0E1116"/>
        </w:rPr>
        <w:t>solo</w:t>
      </w:r>
      <w:r w:rsidR="001B67C8" w:rsidRPr="00EC632F">
        <w:rPr>
          <w:rFonts w:ascii="Arial" w:hAnsi="Arial" w:cs="Arial"/>
          <w:color w:val="0E1116"/>
        </w:rPr>
        <w:t xml:space="preserve"> se tienen en cuenta </w:t>
      </w:r>
      <w:r w:rsidR="00DC2286" w:rsidRPr="00EC632F">
        <w:rPr>
          <w:rFonts w:ascii="Arial" w:hAnsi="Arial" w:cs="Arial"/>
          <w:color w:val="0E1116"/>
        </w:rPr>
        <w:t xml:space="preserve">a </w:t>
      </w:r>
      <w:r w:rsidR="001B67C8" w:rsidRPr="00EC632F">
        <w:rPr>
          <w:rFonts w:ascii="Arial" w:hAnsi="Arial" w:cs="Arial"/>
          <w:color w:val="0E1116"/>
        </w:rPr>
        <w:t>las universidades con más de 100 documentos en</w:t>
      </w:r>
      <w:r w:rsidR="00273F69" w:rsidRPr="00EC632F">
        <w:rPr>
          <w:rFonts w:ascii="Arial" w:hAnsi="Arial" w:cs="Arial"/>
          <w:color w:val="0E1116"/>
        </w:rPr>
        <w:t xml:space="preserve"> la base de datos</w:t>
      </w:r>
      <w:r w:rsidR="001B67C8" w:rsidRPr="00EC632F">
        <w:rPr>
          <w:rFonts w:ascii="Arial" w:hAnsi="Arial" w:cs="Arial"/>
          <w:color w:val="0E1116"/>
        </w:rPr>
        <w:t xml:space="preserve"> Scopus en 201</w:t>
      </w:r>
      <w:r w:rsidR="007F0211" w:rsidRPr="00EC632F">
        <w:rPr>
          <w:rFonts w:ascii="Arial" w:hAnsi="Arial" w:cs="Arial"/>
          <w:color w:val="0E1116"/>
        </w:rPr>
        <w:t>8)</w:t>
      </w:r>
      <w:r w:rsidR="001B67C8" w:rsidRPr="00EC632F">
        <w:rPr>
          <w:rFonts w:ascii="Arial" w:hAnsi="Arial" w:cs="Arial"/>
          <w:color w:val="0E1116"/>
        </w:rPr>
        <w:t xml:space="preserve">. Cada publicación es imputada a la universidad de cada autor. </w:t>
      </w:r>
      <w:r w:rsidR="00A31A5E" w:rsidRPr="00EC632F">
        <w:rPr>
          <w:rFonts w:ascii="Arial" w:hAnsi="Arial" w:cs="Arial"/>
          <w:color w:val="0E1116"/>
        </w:rPr>
        <w:t xml:space="preserve">Impacto normalizado ponderado </w:t>
      </w:r>
      <w:r w:rsidR="00DC2F55" w:rsidRPr="00EC632F">
        <w:rPr>
          <w:rFonts w:ascii="Arial" w:hAnsi="Arial" w:cs="Arial"/>
          <w:color w:val="0E1116"/>
        </w:rPr>
        <w:t>mide</w:t>
      </w:r>
      <w:r w:rsidR="00DC2F55" w:rsidRPr="00EC632F">
        <w:rPr>
          <w:rFonts w:ascii="Arial" w:hAnsi="Arial" w:cs="Arial"/>
          <w:bCs/>
          <w:color w:val="0E1116"/>
        </w:rPr>
        <w:t xml:space="preserve"> la calidad relativa de la producción científica con respecto al mundo (=1), atendiendo a las citas recibidas y la relevancia de las revistas que las emiten</w:t>
      </w:r>
      <w:r w:rsidR="00A31A5E" w:rsidRPr="00EC632F">
        <w:rPr>
          <w:rFonts w:ascii="Arial" w:hAnsi="Arial" w:cs="Arial"/>
          <w:color w:val="0E1116"/>
        </w:rPr>
        <w:t xml:space="preserve">, </w:t>
      </w:r>
      <w:r w:rsidR="001B67C8" w:rsidRPr="00EC632F">
        <w:rPr>
          <w:rFonts w:ascii="Arial" w:hAnsi="Arial" w:cs="Arial"/>
          <w:color w:val="0E1116"/>
        </w:rPr>
        <w:t xml:space="preserve">% Q1 se refiere al porcentaje de trabajos publicados en revistas del primer cuartil de su campo, por nivel de impacto. % excelencia con liderazgo se refiere al porcentaje de documentos que han sido liderados y que </w:t>
      </w:r>
      <w:r w:rsidR="001B67C8" w:rsidRPr="00EC632F">
        <w:rPr>
          <w:rFonts w:ascii="Arial" w:hAnsi="Arial" w:cs="Arial"/>
          <w:color w:val="0E1116"/>
        </w:rPr>
        <w:lastRenderedPageBreak/>
        <w:t xml:space="preserve">pertenecen al 10% de los que más citas han recibido en su campo. </w:t>
      </w:r>
      <w:r w:rsidR="00A31A5E" w:rsidRPr="00EC632F">
        <w:rPr>
          <w:rFonts w:ascii="Arial" w:hAnsi="Arial" w:cs="Arial"/>
          <w:color w:val="0E1116"/>
        </w:rPr>
        <w:t xml:space="preserve">También se muestra el porcentaje de publicaciones en colaboración con empresas, con instituciones de su región y citadas en patentes, así como la ratio entre las publicaciones y el </w:t>
      </w:r>
      <w:r w:rsidR="00423750" w:rsidRPr="00EC632F">
        <w:rPr>
          <w:rFonts w:ascii="Arial" w:hAnsi="Arial" w:cs="Arial"/>
          <w:color w:val="0E1116"/>
        </w:rPr>
        <w:t>PDI ETC</w:t>
      </w:r>
      <w:r w:rsidR="00A31A5E" w:rsidRPr="00EC632F">
        <w:rPr>
          <w:rFonts w:ascii="Arial" w:hAnsi="Arial" w:cs="Arial"/>
          <w:color w:val="0E1116"/>
        </w:rPr>
        <w:t xml:space="preserve"> de la universidad, que</w:t>
      </w:r>
      <w:r w:rsidR="00423750" w:rsidRPr="00EC632F">
        <w:rPr>
          <w:rFonts w:ascii="Arial" w:hAnsi="Arial" w:cs="Arial"/>
          <w:color w:val="0E1116"/>
        </w:rPr>
        <w:t xml:space="preserve"> se refiere al personal docente e investigador en equivalencia a tiempo completo, curso </w:t>
      </w:r>
      <w:r w:rsidR="00A31A5E" w:rsidRPr="00EC632F">
        <w:rPr>
          <w:rFonts w:ascii="Arial" w:hAnsi="Arial" w:cs="Arial"/>
          <w:color w:val="0E1116"/>
        </w:rPr>
        <w:t xml:space="preserve">2018-2019. </w:t>
      </w:r>
      <w:r w:rsidR="00971969" w:rsidRPr="00EC632F">
        <w:rPr>
          <w:rFonts w:ascii="Arial" w:hAnsi="Arial" w:cs="Arial"/>
          <w:color w:val="0E1116"/>
        </w:rPr>
        <w:t xml:space="preserve">La región para las no presenciales se refiere a la comunidad autónoma donde se ubica su sede principal. </w:t>
      </w:r>
      <w:r w:rsidR="00A31A5E" w:rsidRPr="00EC632F">
        <w:rPr>
          <w:rFonts w:ascii="Arial" w:hAnsi="Arial" w:cs="Arial"/>
          <w:color w:val="0E1116"/>
        </w:rPr>
        <w:t>La posición ocupada entre las universidades españolas se muestra en una ordenación descendente, de mayor a menor valor de la variable o indicador en cuestión.</w:t>
      </w:r>
    </w:p>
    <w:p w:rsidR="002F1428" w:rsidRPr="002F25BE" w:rsidRDefault="001B67C8" w:rsidP="00951FF0">
      <w:pPr>
        <w:spacing w:line="240" w:lineRule="auto"/>
        <w:jc w:val="both"/>
        <w:rPr>
          <w:rFonts w:ascii="Arial" w:hAnsi="Arial" w:cs="Arial"/>
          <w:color w:val="0E1116"/>
          <w:sz w:val="18"/>
          <w:szCs w:val="18"/>
        </w:rPr>
      </w:pPr>
      <w:r w:rsidRPr="002F25BE">
        <w:rPr>
          <w:rFonts w:ascii="Arial" w:hAnsi="Arial" w:cs="Arial"/>
          <w:color w:val="0E1116"/>
          <w:sz w:val="18"/>
          <w:szCs w:val="18"/>
        </w:rPr>
        <w:t>Fuente: Grupo SCImago con datos Scopus y Estadística de personal de las universidades. Sistema Integrado de Información Universitaria (SIIU)</w:t>
      </w:r>
      <w:r w:rsidR="007F0211" w:rsidRPr="002F25BE">
        <w:rPr>
          <w:rFonts w:ascii="Arial" w:hAnsi="Arial" w:cs="Arial"/>
          <w:color w:val="0E1116"/>
          <w:sz w:val="18"/>
          <w:szCs w:val="18"/>
        </w:rPr>
        <w:t>. Ministerio de Universidades.</w:t>
      </w:r>
    </w:p>
    <w:p w:rsidR="002F1428" w:rsidRPr="00EC632F" w:rsidRDefault="002F1428" w:rsidP="00951FF0">
      <w:pPr>
        <w:spacing w:line="240" w:lineRule="auto"/>
        <w:jc w:val="both"/>
        <w:rPr>
          <w:rFonts w:ascii="Arial" w:hAnsi="Arial" w:cs="Arial"/>
          <w:color w:val="0E1116"/>
          <w:sz w:val="20"/>
          <w:szCs w:val="20"/>
        </w:rPr>
      </w:pPr>
    </w:p>
    <w:p w:rsidR="006D011F" w:rsidRPr="00EC632F" w:rsidRDefault="00273F69" w:rsidP="00951FF0">
      <w:pPr>
        <w:spacing w:line="240" w:lineRule="auto"/>
        <w:jc w:val="both"/>
        <w:rPr>
          <w:rFonts w:ascii="Arial" w:hAnsi="Arial" w:cs="Arial"/>
          <w:b/>
          <w:color w:val="0E1116"/>
        </w:rPr>
      </w:pPr>
      <w:r w:rsidRPr="00EC632F">
        <w:rPr>
          <w:rFonts w:ascii="Arial" w:hAnsi="Arial" w:cs="Arial"/>
          <w:b/>
          <w:color w:val="0E1116"/>
        </w:rPr>
        <w:t>Participación universitaria en proyectos de I+D individuales y en cooperación (PID) aprobados por el CDTI, en solicitudes de patentes nacionales (PAT) y en solicitudes de patentes internacionales (PCT)</w:t>
      </w:r>
      <w:r w:rsidRPr="00EC632F">
        <w:rPr>
          <w:rFonts w:ascii="Arial" w:hAnsi="Arial" w:cs="Arial"/>
          <w:b/>
          <w:color w:val="0E1116"/>
        </w:rPr>
        <w:tab/>
      </w:r>
      <w:r w:rsidRPr="00EC632F">
        <w:rPr>
          <w:rFonts w:ascii="Arial" w:hAnsi="Arial" w:cs="Arial"/>
          <w:b/>
          <w:color w:val="0E1116"/>
        </w:rPr>
        <w:tab/>
      </w:r>
      <w:r w:rsidRPr="00EC632F">
        <w:rPr>
          <w:rFonts w:ascii="Arial" w:hAnsi="Arial" w:cs="Arial"/>
          <w:b/>
          <w:color w:val="0E1116"/>
        </w:rPr>
        <w:tab/>
      </w:r>
    </w:p>
    <w:p w:rsidR="00A4743D" w:rsidRPr="00EC632F" w:rsidRDefault="006D011F" w:rsidP="00951FF0">
      <w:pPr>
        <w:spacing w:line="240" w:lineRule="auto"/>
        <w:jc w:val="both"/>
        <w:rPr>
          <w:rFonts w:ascii="Arial" w:hAnsi="Arial" w:cs="Arial"/>
          <w:color w:val="0E1116"/>
        </w:rPr>
      </w:pPr>
      <w:r w:rsidRPr="00EC632F">
        <w:rPr>
          <w:rFonts w:ascii="Arial" w:hAnsi="Arial" w:cs="Arial"/>
          <w:color w:val="0E1116"/>
        </w:rPr>
        <w:t>Se considera</w:t>
      </w:r>
      <w:r w:rsidR="00A4743D" w:rsidRPr="00EC632F">
        <w:rPr>
          <w:rFonts w:ascii="Arial" w:hAnsi="Arial" w:cs="Arial"/>
          <w:color w:val="0E1116"/>
        </w:rPr>
        <w:t>n</w:t>
      </w:r>
      <w:r w:rsidRPr="00EC632F">
        <w:rPr>
          <w:rFonts w:ascii="Arial" w:hAnsi="Arial" w:cs="Arial"/>
          <w:color w:val="0E1116"/>
        </w:rPr>
        <w:t xml:space="preserve"> </w:t>
      </w:r>
      <w:r w:rsidR="00A4743D" w:rsidRPr="00EC632F">
        <w:rPr>
          <w:rFonts w:ascii="Arial" w:hAnsi="Arial" w:cs="Arial"/>
          <w:color w:val="0E1116"/>
        </w:rPr>
        <w:t>tanto</w:t>
      </w:r>
      <w:r w:rsidRPr="00EC632F">
        <w:rPr>
          <w:rFonts w:ascii="Arial" w:hAnsi="Arial" w:cs="Arial"/>
          <w:color w:val="0E1116"/>
        </w:rPr>
        <w:t xml:space="preserve"> los proyectos de I+D individuales y en cooperación </w:t>
      </w:r>
      <w:r w:rsidR="009A03EE" w:rsidRPr="00EC632F">
        <w:rPr>
          <w:rFonts w:ascii="Arial" w:hAnsi="Arial" w:cs="Arial"/>
          <w:color w:val="0E1116"/>
        </w:rPr>
        <w:t>(PID) aprobados por el CDTI en los que ha colaborado la universidad en el periodo 2012-2019, como la participación universitaria en la solicitud de patentes nacionales (PAT) e internacionales (PCT) en el periodo 2009-2019</w:t>
      </w:r>
      <w:r w:rsidR="00A4743D" w:rsidRPr="00EC632F">
        <w:rPr>
          <w:rFonts w:ascii="Arial" w:hAnsi="Arial" w:cs="Arial"/>
          <w:color w:val="0E1116"/>
        </w:rPr>
        <w:t xml:space="preserve">. Se ofrecen el valor absoluto y la ratio respecto al PDI ETC de la universidad, que se refiere al personal docente e investigador en equivalencia a tiempo completo, curso 2018-2019. </w:t>
      </w:r>
      <w:r w:rsidR="0012706E" w:rsidRPr="00EC632F">
        <w:rPr>
          <w:rFonts w:ascii="Arial" w:hAnsi="Arial" w:cs="Arial"/>
          <w:color w:val="0E1116"/>
        </w:rPr>
        <w:t>E</w:t>
      </w:r>
      <w:r w:rsidR="00423750" w:rsidRPr="00EC632F">
        <w:rPr>
          <w:rFonts w:ascii="Arial" w:hAnsi="Arial" w:cs="Arial"/>
          <w:color w:val="0E1116"/>
        </w:rPr>
        <w:t xml:space="preserve">n el caso de las patentes nacionales se tiene en cuenta a los solicitantes, tanto si se trata del primer solicitante como del segundo, lo cual implica que varios solicitantes pueden compartir la titularidad de una misma solicitud de patente. En el caso de las patentes internacionales PCT se tienen en cuenta únicamente las solicitudes de patentes presentadas en la </w:t>
      </w:r>
      <w:r w:rsidR="00A4743D" w:rsidRPr="00EC632F">
        <w:rPr>
          <w:rFonts w:ascii="Arial" w:hAnsi="Arial" w:cs="Arial"/>
          <w:color w:val="0E1116"/>
        </w:rPr>
        <w:t>OEPM.</w:t>
      </w:r>
      <w:r w:rsidR="00423750" w:rsidRPr="00EC632F">
        <w:rPr>
          <w:rFonts w:ascii="Arial" w:hAnsi="Arial" w:cs="Arial"/>
          <w:color w:val="0E1116"/>
        </w:rPr>
        <w:t xml:space="preserve"> </w:t>
      </w:r>
      <w:r w:rsidR="00A4743D" w:rsidRPr="00EC632F">
        <w:rPr>
          <w:rFonts w:ascii="Arial" w:hAnsi="Arial" w:cs="Arial"/>
          <w:color w:val="0E1116"/>
        </w:rPr>
        <w:t>F</w:t>
      </w:r>
      <w:r w:rsidR="00423750" w:rsidRPr="00EC632F">
        <w:rPr>
          <w:rFonts w:ascii="Arial" w:hAnsi="Arial" w:cs="Arial"/>
          <w:color w:val="0E1116"/>
        </w:rPr>
        <w:t xml:space="preserve">altan por contabilizar las solicitudes presentadas en la OMPI (Organización Mundial de la Propiedad Intelectual), de las cuales no se dispone de datos. Se ha tenido en cuenta el primer titular de la patente, es decir, cada patente corresponde a un titular. Las patentes PCT (Patent Cooperation Treaty) permiten garantizar la protección internacional de las invenciones. </w:t>
      </w:r>
      <w:r w:rsidR="00EA449F" w:rsidRPr="00EC632F">
        <w:rPr>
          <w:rFonts w:ascii="Arial" w:hAnsi="Arial" w:cs="Arial"/>
          <w:color w:val="0E1116"/>
        </w:rPr>
        <w:t xml:space="preserve">En el caso del PID, varias universidades pueden participar en un mismo proyecto. </w:t>
      </w:r>
      <w:r w:rsidR="00A4743D" w:rsidRPr="00EC632F">
        <w:rPr>
          <w:rFonts w:ascii="Arial" w:hAnsi="Arial" w:cs="Arial"/>
          <w:color w:val="0E1116"/>
        </w:rPr>
        <w:t>La posición ocupada entre las universidades españolas se muestra en una ordenación descendente, de mayor a menor valor de la variable o indicador en cuestión.</w:t>
      </w:r>
    </w:p>
    <w:p w:rsidR="00423750" w:rsidRPr="002F25BE" w:rsidRDefault="00423750" w:rsidP="00951FF0">
      <w:pPr>
        <w:spacing w:line="240" w:lineRule="auto"/>
        <w:jc w:val="both"/>
        <w:rPr>
          <w:rFonts w:ascii="Arial" w:hAnsi="Arial" w:cs="Arial"/>
          <w:color w:val="0E1116"/>
          <w:sz w:val="18"/>
          <w:szCs w:val="18"/>
        </w:rPr>
      </w:pPr>
      <w:r w:rsidRPr="002F25BE">
        <w:rPr>
          <w:rFonts w:ascii="Arial" w:hAnsi="Arial" w:cs="Arial"/>
          <w:color w:val="0E1116"/>
          <w:sz w:val="18"/>
          <w:szCs w:val="18"/>
        </w:rPr>
        <w:t>Fuente: OEPM (Oficina Española de Patentes y Marcas)</w:t>
      </w:r>
      <w:r w:rsidR="00EA449F" w:rsidRPr="002F25BE">
        <w:rPr>
          <w:rFonts w:ascii="Arial" w:hAnsi="Arial" w:cs="Arial"/>
          <w:color w:val="0E1116"/>
          <w:sz w:val="18"/>
          <w:szCs w:val="18"/>
        </w:rPr>
        <w:t xml:space="preserve">, CDTI (Centro para el Desarrollo Tecnológico Industrial) </w:t>
      </w:r>
      <w:r w:rsidRPr="002F25BE">
        <w:rPr>
          <w:rFonts w:ascii="Arial" w:hAnsi="Arial" w:cs="Arial"/>
          <w:color w:val="0E1116"/>
          <w:sz w:val="18"/>
          <w:szCs w:val="18"/>
        </w:rPr>
        <w:t>y Estadística de personal de las universidades. Sistema Integrado de Información Universitaria (SIIU)</w:t>
      </w:r>
      <w:r w:rsidR="006D011F" w:rsidRPr="002F25BE">
        <w:rPr>
          <w:rFonts w:ascii="Arial" w:hAnsi="Arial" w:cs="Arial"/>
          <w:color w:val="0E1116"/>
          <w:sz w:val="18"/>
          <w:szCs w:val="18"/>
        </w:rPr>
        <w:t>. Ministerio de Universidades.</w:t>
      </w:r>
    </w:p>
    <w:p w:rsidR="002B048B" w:rsidRPr="00EC632F" w:rsidRDefault="002B048B" w:rsidP="00951FF0">
      <w:pPr>
        <w:spacing w:line="240" w:lineRule="auto"/>
        <w:jc w:val="both"/>
        <w:rPr>
          <w:rFonts w:ascii="Arial" w:hAnsi="Arial" w:cs="Arial"/>
          <w:b/>
          <w:color w:val="0E1116"/>
        </w:rPr>
      </w:pPr>
    </w:p>
    <w:p w:rsidR="00EB09D0" w:rsidRPr="002F25BE" w:rsidRDefault="00A31A5E" w:rsidP="00951FF0">
      <w:pPr>
        <w:spacing w:line="240" w:lineRule="auto"/>
        <w:jc w:val="both"/>
        <w:rPr>
          <w:rFonts w:ascii="Arial" w:hAnsi="Arial" w:cs="Arial"/>
          <w:color w:val="0E1116"/>
          <w:sz w:val="18"/>
          <w:szCs w:val="18"/>
        </w:rPr>
      </w:pPr>
      <w:r w:rsidRPr="002F25BE">
        <w:rPr>
          <w:rFonts w:ascii="Arial" w:hAnsi="Arial" w:cs="Arial"/>
          <w:color w:val="0E1116"/>
          <w:sz w:val="18"/>
          <w:szCs w:val="18"/>
        </w:rPr>
        <w:t>nd es no disponible, na es no aplica y ncr es no cumple requisitos.</w:t>
      </w:r>
    </w:p>
    <w:sectPr w:rsidR="00EB09D0" w:rsidRPr="002F25BE" w:rsidSect="001E2B17">
      <w:pgSz w:w="11906" w:h="16838" w:code="9"/>
      <w:pgMar w:top="1559"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6E1" w:rsidRDefault="002926E1" w:rsidP="005D57FE">
      <w:pPr>
        <w:spacing w:after="0" w:line="240" w:lineRule="auto"/>
      </w:pPr>
      <w:r>
        <w:separator/>
      </w:r>
    </w:p>
  </w:endnote>
  <w:endnote w:type="continuationSeparator" w:id="0">
    <w:p w:rsidR="002926E1" w:rsidRDefault="002926E1" w:rsidP="005D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979608"/>
      <w:docPartObj>
        <w:docPartGallery w:val="Page Numbers (Bottom of Page)"/>
        <w:docPartUnique/>
      </w:docPartObj>
    </w:sdtPr>
    <w:sdtEndPr/>
    <w:sdtContent>
      <w:p w:rsidR="005D57FE" w:rsidRDefault="007C6B4D">
        <w:pPr>
          <w:pStyle w:val="Piedepgina"/>
          <w:jc w:val="right"/>
        </w:pPr>
        <w:r>
          <w:fldChar w:fldCharType="begin"/>
        </w:r>
        <w:r>
          <w:instrText xml:space="preserve"> PAGE   \* MERGEFORMAT </w:instrText>
        </w:r>
        <w:r>
          <w:fldChar w:fldCharType="separate"/>
        </w:r>
        <w:r w:rsidR="000451B5">
          <w:rPr>
            <w:noProof/>
          </w:rPr>
          <w:t>4</w:t>
        </w:r>
        <w:r>
          <w:rPr>
            <w:noProof/>
          </w:rPr>
          <w:fldChar w:fldCharType="end"/>
        </w:r>
      </w:p>
    </w:sdtContent>
  </w:sdt>
  <w:p w:rsidR="005D57FE" w:rsidRDefault="005D57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6E1" w:rsidRDefault="002926E1" w:rsidP="005D57FE">
      <w:pPr>
        <w:spacing w:after="0" w:line="240" w:lineRule="auto"/>
      </w:pPr>
      <w:r>
        <w:separator/>
      </w:r>
    </w:p>
  </w:footnote>
  <w:footnote w:type="continuationSeparator" w:id="0">
    <w:p w:rsidR="002926E1" w:rsidRDefault="002926E1" w:rsidP="005D5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8E" w:rsidRDefault="0092398E">
    <w:pPr>
      <w:pStyle w:val="Encabezado"/>
    </w:pPr>
    <w:r>
      <w:rPr>
        <w:noProof/>
      </w:rPr>
      <w:drawing>
        <wp:inline distT="0" distB="0" distL="0" distR="0" wp14:anchorId="16FEF6C9" wp14:editId="4E4E46D3">
          <wp:extent cx="1323975" cy="371475"/>
          <wp:effectExtent l="0" t="0" r="9525" b="9525"/>
          <wp:docPr id="6" name="Imagen 1">
            <a:extLst xmlns:a="http://schemas.openxmlformats.org/drawingml/2006/main">
              <a:ext uri="{FF2B5EF4-FFF2-40B4-BE49-F238E27FC236}">
                <a16:creationId xmlns:a16="http://schemas.microsoft.com/office/drawing/2014/main" id="{B2DCDE2B-24E8-4234-A0F6-AC5AAA5FED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B2DCDE2B-24E8-4234-A0F6-AC5AAA5FED2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1E4"/>
    <w:rsid w:val="000047C1"/>
    <w:rsid w:val="0001112B"/>
    <w:rsid w:val="000114A1"/>
    <w:rsid w:val="00017A39"/>
    <w:rsid w:val="000278BB"/>
    <w:rsid w:val="00044D2E"/>
    <w:rsid w:val="000451B5"/>
    <w:rsid w:val="00045433"/>
    <w:rsid w:val="00050C0A"/>
    <w:rsid w:val="000511F1"/>
    <w:rsid w:val="000521E8"/>
    <w:rsid w:val="00093974"/>
    <w:rsid w:val="00095864"/>
    <w:rsid w:val="00097018"/>
    <w:rsid w:val="000A4666"/>
    <w:rsid w:val="000A4801"/>
    <w:rsid w:val="000B1904"/>
    <w:rsid w:val="000D0944"/>
    <w:rsid w:val="000F3F03"/>
    <w:rsid w:val="00103C54"/>
    <w:rsid w:val="001158B0"/>
    <w:rsid w:val="001226A3"/>
    <w:rsid w:val="0012706E"/>
    <w:rsid w:val="00137002"/>
    <w:rsid w:val="00160D6C"/>
    <w:rsid w:val="00174451"/>
    <w:rsid w:val="001751F0"/>
    <w:rsid w:val="001B67C8"/>
    <w:rsid w:val="001C5B4A"/>
    <w:rsid w:val="001E0CD5"/>
    <w:rsid w:val="001E2B17"/>
    <w:rsid w:val="00202BA3"/>
    <w:rsid w:val="00210758"/>
    <w:rsid w:val="00243EB0"/>
    <w:rsid w:val="00260E3A"/>
    <w:rsid w:val="00273F69"/>
    <w:rsid w:val="00274C25"/>
    <w:rsid w:val="002774A0"/>
    <w:rsid w:val="00282F52"/>
    <w:rsid w:val="002926E1"/>
    <w:rsid w:val="00293D06"/>
    <w:rsid w:val="002A7049"/>
    <w:rsid w:val="002B048B"/>
    <w:rsid w:val="002D0CE1"/>
    <w:rsid w:val="002D2B9F"/>
    <w:rsid w:val="002F1428"/>
    <w:rsid w:val="002F25BE"/>
    <w:rsid w:val="002F372F"/>
    <w:rsid w:val="002F4C13"/>
    <w:rsid w:val="00305E40"/>
    <w:rsid w:val="00312403"/>
    <w:rsid w:val="00332771"/>
    <w:rsid w:val="0033612A"/>
    <w:rsid w:val="003537D9"/>
    <w:rsid w:val="003671F8"/>
    <w:rsid w:val="00391A46"/>
    <w:rsid w:val="003A0B4F"/>
    <w:rsid w:val="003C0910"/>
    <w:rsid w:val="003C14E0"/>
    <w:rsid w:val="003D38B4"/>
    <w:rsid w:val="003D638E"/>
    <w:rsid w:val="003E307B"/>
    <w:rsid w:val="003E798D"/>
    <w:rsid w:val="003F03A0"/>
    <w:rsid w:val="004013A7"/>
    <w:rsid w:val="00423750"/>
    <w:rsid w:val="00425AA8"/>
    <w:rsid w:val="004401B9"/>
    <w:rsid w:val="004464CE"/>
    <w:rsid w:val="00447177"/>
    <w:rsid w:val="00451216"/>
    <w:rsid w:val="004533D3"/>
    <w:rsid w:val="0045750B"/>
    <w:rsid w:val="004729F2"/>
    <w:rsid w:val="00497B4D"/>
    <w:rsid w:val="004D0D72"/>
    <w:rsid w:val="004D1ACD"/>
    <w:rsid w:val="004D62E6"/>
    <w:rsid w:val="00510D01"/>
    <w:rsid w:val="0052436F"/>
    <w:rsid w:val="0056290C"/>
    <w:rsid w:val="005649F3"/>
    <w:rsid w:val="00564D28"/>
    <w:rsid w:val="005778AC"/>
    <w:rsid w:val="00584ADE"/>
    <w:rsid w:val="00590D96"/>
    <w:rsid w:val="005A21E3"/>
    <w:rsid w:val="005B511F"/>
    <w:rsid w:val="005D57FE"/>
    <w:rsid w:val="005E4C40"/>
    <w:rsid w:val="005E6D8C"/>
    <w:rsid w:val="00604257"/>
    <w:rsid w:val="0061723A"/>
    <w:rsid w:val="00627B0E"/>
    <w:rsid w:val="006475B7"/>
    <w:rsid w:val="006564E7"/>
    <w:rsid w:val="006650AB"/>
    <w:rsid w:val="0066656A"/>
    <w:rsid w:val="00671190"/>
    <w:rsid w:val="0068117A"/>
    <w:rsid w:val="00690AA5"/>
    <w:rsid w:val="006918C0"/>
    <w:rsid w:val="00694801"/>
    <w:rsid w:val="00696344"/>
    <w:rsid w:val="006B7986"/>
    <w:rsid w:val="006C5DF1"/>
    <w:rsid w:val="006D011F"/>
    <w:rsid w:val="006D2B40"/>
    <w:rsid w:val="006D426F"/>
    <w:rsid w:val="006E6050"/>
    <w:rsid w:val="00703294"/>
    <w:rsid w:val="00756BC7"/>
    <w:rsid w:val="00764CD4"/>
    <w:rsid w:val="00770A50"/>
    <w:rsid w:val="007C342C"/>
    <w:rsid w:val="007C6B4D"/>
    <w:rsid w:val="007C7F85"/>
    <w:rsid w:val="007D1574"/>
    <w:rsid w:val="007F0211"/>
    <w:rsid w:val="00800124"/>
    <w:rsid w:val="008111CB"/>
    <w:rsid w:val="0081763E"/>
    <w:rsid w:val="00861F41"/>
    <w:rsid w:val="008A115E"/>
    <w:rsid w:val="008A473E"/>
    <w:rsid w:val="008D050C"/>
    <w:rsid w:val="008E162E"/>
    <w:rsid w:val="008E1936"/>
    <w:rsid w:val="008E63F9"/>
    <w:rsid w:val="00906E10"/>
    <w:rsid w:val="0091451F"/>
    <w:rsid w:val="00916DD4"/>
    <w:rsid w:val="0092398E"/>
    <w:rsid w:val="00937647"/>
    <w:rsid w:val="00951FF0"/>
    <w:rsid w:val="009532B5"/>
    <w:rsid w:val="0096631C"/>
    <w:rsid w:val="00971969"/>
    <w:rsid w:val="0097206F"/>
    <w:rsid w:val="009844F9"/>
    <w:rsid w:val="009A03EE"/>
    <w:rsid w:val="009A2D3F"/>
    <w:rsid w:val="009B60E6"/>
    <w:rsid w:val="009E19A5"/>
    <w:rsid w:val="00A027F3"/>
    <w:rsid w:val="00A04E93"/>
    <w:rsid w:val="00A06CF9"/>
    <w:rsid w:val="00A11B8F"/>
    <w:rsid w:val="00A16248"/>
    <w:rsid w:val="00A31A5E"/>
    <w:rsid w:val="00A42406"/>
    <w:rsid w:val="00A42829"/>
    <w:rsid w:val="00A44026"/>
    <w:rsid w:val="00A4743D"/>
    <w:rsid w:val="00A51480"/>
    <w:rsid w:val="00A61D18"/>
    <w:rsid w:val="00A83608"/>
    <w:rsid w:val="00A862CD"/>
    <w:rsid w:val="00AA2359"/>
    <w:rsid w:val="00AB5320"/>
    <w:rsid w:val="00B202FB"/>
    <w:rsid w:val="00B27961"/>
    <w:rsid w:val="00B32CA2"/>
    <w:rsid w:val="00B47795"/>
    <w:rsid w:val="00B825B0"/>
    <w:rsid w:val="00B90120"/>
    <w:rsid w:val="00B943F9"/>
    <w:rsid w:val="00B96EF0"/>
    <w:rsid w:val="00BD65C2"/>
    <w:rsid w:val="00BD7B5E"/>
    <w:rsid w:val="00BF621A"/>
    <w:rsid w:val="00C02AB7"/>
    <w:rsid w:val="00C0721C"/>
    <w:rsid w:val="00C14AB7"/>
    <w:rsid w:val="00C22094"/>
    <w:rsid w:val="00C420DE"/>
    <w:rsid w:val="00C673CE"/>
    <w:rsid w:val="00CC70C6"/>
    <w:rsid w:val="00CF4332"/>
    <w:rsid w:val="00D16471"/>
    <w:rsid w:val="00D53525"/>
    <w:rsid w:val="00D60A5B"/>
    <w:rsid w:val="00D62543"/>
    <w:rsid w:val="00D83D59"/>
    <w:rsid w:val="00D86CC6"/>
    <w:rsid w:val="00DC2286"/>
    <w:rsid w:val="00DC2F55"/>
    <w:rsid w:val="00DD0533"/>
    <w:rsid w:val="00DD5B5B"/>
    <w:rsid w:val="00DE27C7"/>
    <w:rsid w:val="00DE4B1C"/>
    <w:rsid w:val="00DE695B"/>
    <w:rsid w:val="00DF4FCD"/>
    <w:rsid w:val="00DF51C2"/>
    <w:rsid w:val="00DF5FD7"/>
    <w:rsid w:val="00E31AC2"/>
    <w:rsid w:val="00E4486B"/>
    <w:rsid w:val="00E54B67"/>
    <w:rsid w:val="00E65430"/>
    <w:rsid w:val="00EA449F"/>
    <w:rsid w:val="00EB09D0"/>
    <w:rsid w:val="00EB1EA3"/>
    <w:rsid w:val="00EC3FE6"/>
    <w:rsid w:val="00EC632F"/>
    <w:rsid w:val="00EF3741"/>
    <w:rsid w:val="00EF4FB6"/>
    <w:rsid w:val="00F073E8"/>
    <w:rsid w:val="00F20BDB"/>
    <w:rsid w:val="00F2167D"/>
    <w:rsid w:val="00F258C3"/>
    <w:rsid w:val="00F43ADA"/>
    <w:rsid w:val="00F605A2"/>
    <w:rsid w:val="00F71EC9"/>
    <w:rsid w:val="00F811E4"/>
    <w:rsid w:val="00F97310"/>
    <w:rsid w:val="00FB1338"/>
    <w:rsid w:val="00FE22AD"/>
    <w:rsid w:val="00FE5C11"/>
    <w:rsid w:val="00FE79FD"/>
    <w:rsid w:val="00FF6F1E"/>
    <w:rsid w:val="00FF7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3167"/>
  <w15:docId w15:val="{D39DAA14-E803-4385-8EBC-523B33EB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Schriftart: 9 pt,Schriftart: 10 pt,Schriftart: 8 pt,WB-Fußnotentext,fn,Footnotes,Footnote ak,Schriftart: 9 pt Car,Schriftart: 10 pt Car,Schriftart: 8 pt Car,WB-Fu,Footnote Text Char1,Footnote Text Char2 Char,Footnote Text Char1 Char Char"/>
    <w:basedOn w:val="Normal"/>
    <w:link w:val="TextonotapieCar"/>
    <w:rsid w:val="00FF6F1E"/>
    <w:pPr>
      <w:spacing w:after="0" w:line="240" w:lineRule="auto"/>
    </w:pPr>
    <w:rPr>
      <w:rFonts w:ascii="Times New Roman" w:eastAsia="Times New Roman" w:hAnsi="Times New Roman" w:cs="Times New Roman"/>
      <w:sz w:val="20"/>
      <w:szCs w:val="20"/>
      <w:lang w:val="ca-ES" w:eastAsia="es-ES"/>
    </w:rPr>
  </w:style>
  <w:style w:type="character" w:customStyle="1" w:styleId="TextonotapieCar">
    <w:name w:val="Texto nota pie Car"/>
    <w:aliases w:val="Schriftart: 9 pt Car1,Schriftart: 10 pt Car1,Schriftart: 8 pt Car1,WB-Fußnotentext Car,fn Car,Footnotes Car,Footnote ak Car,Schriftart: 9 pt Car Car,Schriftart: 10 pt Car Car,Schriftart: 8 pt Car Car,WB-Fu Car,Footnote Text Char1 Car"/>
    <w:basedOn w:val="Fuentedeprrafopredeter"/>
    <w:link w:val="Textonotapie"/>
    <w:rsid w:val="00FF6F1E"/>
    <w:rPr>
      <w:rFonts w:ascii="Times New Roman" w:eastAsia="Times New Roman" w:hAnsi="Times New Roman" w:cs="Times New Roman"/>
      <w:sz w:val="20"/>
      <w:szCs w:val="20"/>
      <w:lang w:val="ca-ES" w:eastAsia="es-ES"/>
    </w:rPr>
  </w:style>
  <w:style w:type="paragraph" w:styleId="Encabezado">
    <w:name w:val="header"/>
    <w:basedOn w:val="Normal"/>
    <w:link w:val="EncabezadoCar"/>
    <w:uiPriority w:val="99"/>
    <w:unhideWhenUsed/>
    <w:rsid w:val="005D5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57FE"/>
  </w:style>
  <w:style w:type="paragraph" w:styleId="Piedepgina">
    <w:name w:val="footer"/>
    <w:basedOn w:val="Normal"/>
    <w:link w:val="PiedepginaCar"/>
    <w:uiPriority w:val="99"/>
    <w:unhideWhenUsed/>
    <w:rsid w:val="005D57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4735">
      <w:bodyDiv w:val="1"/>
      <w:marLeft w:val="0"/>
      <w:marRight w:val="0"/>
      <w:marTop w:val="0"/>
      <w:marBottom w:val="0"/>
      <w:divBdr>
        <w:top w:val="none" w:sz="0" w:space="0" w:color="auto"/>
        <w:left w:val="none" w:sz="0" w:space="0" w:color="auto"/>
        <w:bottom w:val="none" w:sz="0" w:space="0" w:color="auto"/>
        <w:right w:val="none" w:sz="0" w:space="0" w:color="auto"/>
      </w:divBdr>
    </w:div>
    <w:div w:id="664818374">
      <w:bodyDiv w:val="1"/>
      <w:marLeft w:val="0"/>
      <w:marRight w:val="0"/>
      <w:marTop w:val="0"/>
      <w:marBottom w:val="0"/>
      <w:divBdr>
        <w:top w:val="none" w:sz="0" w:space="0" w:color="auto"/>
        <w:left w:val="none" w:sz="0" w:space="0" w:color="auto"/>
        <w:bottom w:val="none" w:sz="0" w:space="0" w:color="auto"/>
        <w:right w:val="none" w:sz="0" w:space="0" w:color="auto"/>
      </w:divBdr>
    </w:div>
    <w:div w:id="801653156">
      <w:bodyDiv w:val="1"/>
      <w:marLeft w:val="0"/>
      <w:marRight w:val="0"/>
      <w:marTop w:val="0"/>
      <w:marBottom w:val="0"/>
      <w:divBdr>
        <w:top w:val="none" w:sz="0" w:space="0" w:color="auto"/>
        <w:left w:val="none" w:sz="0" w:space="0" w:color="auto"/>
        <w:bottom w:val="none" w:sz="0" w:space="0" w:color="auto"/>
        <w:right w:val="none" w:sz="0" w:space="0" w:color="auto"/>
      </w:divBdr>
    </w:div>
    <w:div w:id="1547640293">
      <w:bodyDiv w:val="1"/>
      <w:marLeft w:val="0"/>
      <w:marRight w:val="0"/>
      <w:marTop w:val="0"/>
      <w:marBottom w:val="0"/>
      <w:divBdr>
        <w:top w:val="none" w:sz="0" w:space="0" w:color="auto"/>
        <w:left w:val="none" w:sz="0" w:space="0" w:color="auto"/>
        <w:bottom w:val="none" w:sz="0" w:space="0" w:color="auto"/>
        <w:right w:val="none" w:sz="0" w:space="0" w:color="auto"/>
      </w:divBdr>
    </w:div>
    <w:div w:id="1587114010">
      <w:bodyDiv w:val="1"/>
      <w:marLeft w:val="0"/>
      <w:marRight w:val="0"/>
      <w:marTop w:val="0"/>
      <w:marBottom w:val="0"/>
      <w:divBdr>
        <w:top w:val="none" w:sz="0" w:space="0" w:color="auto"/>
        <w:left w:val="none" w:sz="0" w:space="0" w:color="auto"/>
        <w:bottom w:val="none" w:sz="0" w:space="0" w:color="auto"/>
        <w:right w:val="none" w:sz="0" w:space="0" w:color="auto"/>
      </w:divBdr>
    </w:div>
    <w:div w:id="1748503193">
      <w:bodyDiv w:val="1"/>
      <w:marLeft w:val="0"/>
      <w:marRight w:val="0"/>
      <w:marTop w:val="0"/>
      <w:marBottom w:val="0"/>
      <w:divBdr>
        <w:top w:val="none" w:sz="0" w:space="0" w:color="auto"/>
        <w:left w:val="none" w:sz="0" w:space="0" w:color="auto"/>
        <w:bottom w:val="none" w:sz="0" w:space="0" w:color="auto"/>
        <w:right w:val="none" w:sz="0" w:space="0" w:color="auto"/>
      </w:divBdr>
    </w:div>
    <w:div w:id="1815609577">
      <w:bodyDiv w:val="1"/>
      <w:marLeft w:val="0"/>
      <w:marRight w:val="0"/>
      <w:marTop w:val="0"/>
      <w:marBottom w:val="0"/>
      <w:divBdr>
        <w:top w:val="none" w:sz="0" w:space="0" w:color="auto"/>
        <w:left w:val="none" w:sz="0" w:space="0" w:color="auto"/>
        <w:bottom w:val="none" w:sz="0" w:space="0" w:color="auto"/>
        <w:right w:val="none" w:sz="0" w:space="0" w:color="auto"/>
      </w:divBdr>
    </w:div>
    <w:div w:id="19037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2482</Words>
  <Characters>13657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 Alvarez</dc:creator>
  <cp:lastModifiedBy>Montserrat Alvarez Cardeñosa</cp:lastModifiedBy>
  <cp:revision>145</cp:revision>
  <dcterms:created xsi:type="dcterms:W3CDTF">2019-11-14T11:43:00Z</dcterms:created>
  <dcterms:modified xsi:type="dcterms:W3CDTF">2021-03-11T18:32:00Z</dcterms:modified>
</cp:coreProperties>
</file>